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pict>
          <v:shape type="#_x0000_t75" stroked="f" style="width:83.149606299213pt; height:91.086614173228pt; margin-left:0pt; margin-top:0pt; position:absolute; mso-position-horizontal:left; mso-position-vertical:top; mso-position-horizontal-relative:margin; mso-position-vertical-relative:line;">
            <w10:wrap type="square" anchorx="page" anchory="page"/>
            <v:imagedata r:id="rId7" o:title=""/>
          </v:shape>
        </w:pict>
      </w:r>
      <w:r>
        <w:pict>
          <v:shape type="#_x0000_t75" stroked="f" style="width:67.275590551181pt; height:120.18897637795pt; margin-left:0pt; margin-top:0pt; position:absolute; mso-position-horizontal:right; mso-position-vertical:top; mso-position-horizontal-relative:margin; mso-position-vertical-relative:line;">
            <w10:wrap type="square" anchorx="page" anchory="page"/>
            <v:imagedata r:id="rId8" o:title=""/>
          </v:shape>
        </w:pict>
      </w:r>
    </w:p>
    <w:p>
      <w:pPr>
        <w:jc w:val="center"/>
      </w:pPr>
      <w:r>
        <w:rPr>
          <w:sz w:val="28"/>
          <w:szCs w:val="28"/>
        </w:rPr>
        <w:t xml:space="preserve">2025</w:t>
      </w:r>
    </w:p>
    <w:p>
      <w:pPr>
        <w:jc w:val="center"/>
      </w:pPr>
      <w:r>
        <w:rPr>
          <w:sz w:val="28"/>
          <w:szCs w:val="28"/>
        </w:rPr>
        <w:t xml:space="preserve">Project Implementation Report (PIR)</w:t>
      </w:r>
    </w:p>
    <w:p>
      <w:pPr/>
      <w:r>
        <w:rPr/>
        <w:t xml:space="preserve"/>
      </w:r>
    </w:p>
    <w:p>
      <w:pPr/>
      <w:r>
        <w:rPr/>
        <w:t xml:space="preserve"/>
      </w:r>
    </w:p>
    <w:p>
      <w:pPr/>
      <w:r>
        <w:rPr/>
        <w:t xml:space="preserve"/>
      </w:r>
    </w:p>
    <w:p>
      <w:pPr>
        <w:jc w:val="center"/>
      </w:pPr>
      <w:r>
        <w:rPr>
          <w:sz w:val="28"/>
          <w:szCs w:val="28"/>
          <w:b w:val="1"/>
          <w:bCs w:val="1"/>
        </w:rPr>
        <w:t xml:space="preserve">Critical River Basin Landscapes in the Philippines</w:t>
      </w:r>
    </w:p>
    <w:p>
      <w:pPr>
        <w:tabs>
          <w:tab w:val="right" w:leader="dot" w:pos="9062"/>
        </w:tabs>
      </w:pPr>
      <w:r>
        <w:fldChar w:fldCharType="begin"/>
      </w:r>
      <w:r>
        <w:instrText xml:space="preserve">TOC \o 1-1 \h \z \u</w:instrText>
      </w:r>
      <w:r>
        <w:fldChar w:fldCharType="separate"/>
      </w:r>
      <w:hyperlink w:anchor="_Toc0" w:history="1">
        <w:r>
          <w:t>Basic Data</w:t>
        </w:r>
        <w:r>
          <w:tab/>
        </w:r>
        <w:r>
          <w:fldChar w:fldCharType="begin"/>
        </w:r>
        <w:r>
          <w:instrText xml:space="preserve">PAGEREF 0 \h</w:instrText>
        </w:r>
        <w:r>
          <w:fldChar w:fldCharType="end"/>
        </w:r>
      </w:hyperlink>
    </w:p>
    <w:p>
      <w:pPr>
        <w:tabs>
          <w:tab w:val="right" w:leader="dot" w:pos="9062"/>
        </w:tabs>
      </w:pPr>
      <w:hyperlink w:anchor="_Toc1" w:history="1">
        <w:r>
          <w:t>Key project dates</w:t>
        </w:r>
        <w:r>
          <w:tab/>
        </w:r>
        <w:r>
          <w:fldChar w:fldCharType="begin"/>
        </w:r>
        <w:r>
          <w:instrText xml:space="preserve">PAGEREF 1 \h</w:instrText>
        </w:r>
        <w:r>
          <w:fldChar w:fldCharType="end"/>
        </w:r>
      </w:hyperlink>
    </w:p>
    <w:p>
      <w:pPr>
        <w:tabs>
          <w:tab w:val="right" w:leader="dot" w:pos="9062"/>
        </w:tabs>
      </w:pPr>
      <w:hyperlink w:anchor="_Toc2" w:history="1">
        <w:r>
          <w:t>Overall ratings</w:t>
        </w:r>
        <w:r>
          <w:tab/>
        </w:r>
        <w:r>
          <w:fldChar w:fldCharType="begin"/>
        </w:r>
        <w:r>
          <w:instrText xml:space="preserve">PAGEREF 2 \h</w:instrText>
        </w:r>
        <w:r>
          <w:fldChar w:fldCharType="end"/>
        </w:r>
      </w:hyperlink>
    </w:p>
    <w:p>
      <w:pPr>
        <w:tabs>
          <w:tab w:val="right" w:leader="dot" w:pos="9062"/>
        </w:tabs>
      </w:pPr>
      <w:hyperlink w:anchor="_Toc3" w:history="1">
        <w:r>
          <w:t>Development Objective Progress</w:t>
        </w:r>
        <w:r>
          <w:tab/>
        </w:r>
        <w:r>
          <w:fldChar w:fldCharType="begin"/>
        </w:r>
        <w:r>
          <w:instrText xml:space="preserve">PAGEREF 3 \h</w:instrText>
        </w:r>
        <w:r>
          <w:fldChar w:fldCharType="end"/>
        </w:r>
      </w:hyperlink>
    </w:p>
    <w:p>
      <w:pPr>
        <w:tabs>
          <w:tab w:val="right" w:leader="dot" w:pos="9062"/>
        </w:tabs>
      </w:pPr>
      <w:hyperlink w:anchor="_Toc5" w:history="1">
        <w:r>
          <w:t>Finance/Co-Finance</w:t>
        </w:r>
        <w:r>
          <w:tab/>
        </w:r>
        <w:r>
          <w:fldChar w:fldCharType="begin"/>
        </w:r>
        <w:r>
          <w:instrText xml:space="preserve">PAGEREF 5 \h</w:instrText>
        </w:r>
        <w:r>
          <w:fldChar w:fldCharType="end"/>
        </w:r>
      </w:hyperlink>
    </w:p>
    <w:p>
      <w:pPr>
        <w:tabs>
          <w:tab w:val="right" w:leader="dot" w:pos="9062"/>
        </w:tabs>
      </w:pPr>
      <w:hyperlink w:anchor="_Toc7" w:history="1">
        <w:r>
          <w:t>Implementation Progress</w:t>
        </w:r>
        <w:r>
          <w:tab/>
        </w:r>
        <w:r>
          <w:fldChar w:fldCharType="begin"/>
        </w:r>
        <w:r>
          <w:instrText xml:space="preserve">PAGEREF 7 \h</w:instrText>
        </w:r>
        <w:r>
          <w:fldChar w:fldCharType="end"/>
        </w:r>
      </w:hyperlink>
    </w:p>
    <w:p>
      <w:pPr>
        <w:tabs>
          <w:tab w:val="right" w:leader="dot" w:pos="9062"/>
        </w:tabs>
      </w:pPr>
      <w:hyperlink w:anchor="_Toc8" w:history="1">
        <w:r>
          <w:t>Project Governance</w:t>
        </w:r>
        <w:r>
          <w:tab/>
        </w:r>
        <w:r>
          <w:fldChar w:fldCharType="begin"/>
        </w:r>
        <w:r>
          <w:instrText xml:space="preserve">PAGEREF 8 \h</w:instrText>
        </w:r>
        <w:r>
          <w:fldChar w:fldCharType="end"/>
        </w:r>
      </w:hyperlink>
    </w:p>
    <w:p>
      <w:pPr>
        <w:tabs>
          <w:tab w:val="right" w:leader="dot" w:pos="9062"/>
        </w:tabs>
      </w:pPr>
      <w:hyperlink w:anchor="_Toc9" w:history="1">
        <w:r>
          <w:t>Ratings and Overall Assessments</w:t>
        </w:r>
        <w:r>
          <w:tab/>
        </w:r>
        <w:r>
          <w:fldChar w:fldCharType="begin"/>
        </w:r>
        <w:r>
          <w:instrText xml:space="preserve">PAGEREF 9 \h</w:instrText>
        </w:r>
        <w:r>
          <w:fldChar w:fldCharType="end"/>
        </w:r>
      </w:hyperlink>
    </w:p>
    <w:p>
      <w:pPr>
        <w:tabs>
          <w:tab w:val="right" w:leader="dot" w:pos="9062"/>
        </w:tabs>
      </w:pPr>
      <w:hyperlink w:anchor="_Toc10" w:history="1">
        <w:r>
          <w:t>Minor Amendments</w:t>
        </w:r>
        <w:r>
          <w:tab/>
        </w:r>
        <w:r>
          <w:fldChar w:fldCharType="begin"/>
        </w:r>
        <w:r>
          <w:instrText xml:space="preserve">PAGEREF 10 \h</w:instrText>
        </w:r>
        <w:r>
          <w:fldChar w:fldCharType="end"/>
        </w:r>
      </w:hyperlink>
    </w:p>
    <w:p>
      <w:pPr>
        <w:tabs>
          <w:tab w:val="right" w:leader="dot" w:pos="9062"/>
        </w:tabs>
      </w:pPr>
      <w:hyperlink w:anchor="_Toc11" w:history="1">
        <w:r>
          <w:t>Gender</w:t>
        </w:r>
        <w:r>
          <w:tab/>
        </w:r>
        <w:r>
          <w:fldChar w:fldCharType="begin"/>
        </w:r>
        <w:r>
          <w:instrText xml:space="preserve">PAGEREF 11 \h</w:instrText>
        </w:r>
        <w:r>
          <w:fldChar w:fldCharType="end"/>
        </w:r>
      </w:hyperlink>
    </w:p>
    <w:p>
      <w:pPr>
        <w:tabs>
          <w:tab w:val="right" w:leader="dot" w:pos="9062"/>
        </w:tabs>
      </w:pPr>
      <w:hyperlink w:anchor="_Toc13" w:history="1">
        <w:r>
          <w:t>Risk Management</w:t>
        </w:r>
        <w:r>
          <w:tab/>
        </w:r>
        <w:r>
          <w:fldChar w:fldCharType="begin"/>
        </w:r>
        <w:r>
          <w:instrText xml:space="preserve">PAGEREF 13 \h</w:instrText>
        </w:r>
        <w:r>
          <w:fldChar w:fldCharType="end"/>
        </w:r>
      </w:hyperlink>
    </w:p>
    <w:p>
      <w:pPr>
        <w:tabs>
          <w:tab w:val="right" w:leader="dot" w:pos="9062"/>
        </w:tabs>
      </w:pPr>
      <w:hyperlink w:anchor="_Toc16" w:history="1">
        <w:r>
          <w:t>Knowledge Management &amp; Communications</w:t>
        </w:r>
        <w:r>
          <w:tab/>
        </w:r>
        <w:r>
          <w:fldChar w:fldCharType="begin"/>
        </w:r>
        <w:r>
          <w:instrText xml:space="preserve">PAGEREF 16 \h</w:instrText>
        </w:r>
        <w:r>
          <w:fldChar w:fldCharType="end"/>
        </w:r>
      </w:hyperlink>
    </w:p>
    <w:p>
      <w:pPr>
        <w:tabs>
          <w:tab w:val="right" w:leader="dot" w:pos="9062"/>
        </w:tabs>
      </w:pPr>
      <w:hyperlink w:anchor="_Toc17" w:history="1">
        <w:r>
          <w:t>Annex - Ratings Definitions</w:t>
        </w:r>
        <w:r>
          <w:tab/>
        </w:r>
        <w:r>
          <w:fldChar w:fldCharType="begin"/>
        </w:r>
        <w:r>
          <w:instrText xml:space="preserve">PAGEREF 17 \h</w:instrText>
        </w:r>
        <w:r>
          <w:fldChar w:fldCharType="end"/>
        </w:r>
      </w:hyperlink>
    </w:p>
    <w:p>
      <w:r>
        <w:fldChar w:fldCharType="end"/>
      </w:r>
    </w:p>
    <w:p>
      <w:pPr>
        <w:sectPr>
          <w:headerReference w:type="default" r:id="rId11"/>
          <w:footerReference w:type="default" r:id="rId12"/>
          <w:pgSz w:orient="portrait" w:w="11905.511811023622" w:h="16837.79527559055"/>
          <w:pgMar w:top="1440" w:right="1440" w:bottom="1440" w:left="1440" w:header="720" w:footer="720" w:gutter="0"/>
          <w:cols w:num="1" w:space="720"/>
        </w:sectPr>
      </w:pPr>
    </w:p>
    <w:p>
      <w:pPr>
        <w:pStyle w:val="Heading1"/>
      </w:pPr>
      <w:bookmarkStart w:id="0" w:name="_Toc0"/>
      <w:r>
        <w:t>Basic Data</w:t>
      </w:r>
      <w:bookmarkEnd w:id="0"/>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Information</w:t>
            </w:r>
          </w:p>
        </w:tc>
      </w:tr>
      <w:tr>
        <w:trPr/>
        <w:tc>
          <w:tcPr>
            <w:tcW w:w="5000" w:type="dxa"/>
            <w:gridSpan w:val="1"/>
            <w:noWrap/>
          </w:tcPr>
          <w:p>
            <w:pPr/>
            <w:r>
              <w:rPr/>
              <w:t xml:space="preserve">UNDP PIMS ID</w:t>
            </w:r>
          </w:p>
        </w:tc>
        <w:tc>
          <w:tcPr>
            <w:tcW w:w="5000" w:type="dxa"/>
            <w:gridSpan w:val="1"/>
            <w:noWrap/>
          </w:tcPr>
          <w:p>
            <w:pPr/>
            <w:r>
              <w:rPr/>
              <w:t xml:space="preserve">6500</w:t>
            </w:r>
          </w:p>
        </w:tc>
      </w:tr>
      <w:tr>
        <w:trPr/>
        <w:tc>
          <w:tcPr>
            <w:tcW w:w="5000" w:type="dxa"/>
            <w:gridSpan w:val="1"/>
            <w:noWrap/>
          </w:tcPr>
          <w:p>
            <w:pPr/>
            <w:r>
              <w:rPr/>
              <w:t xml:space="preserve">GEF ID</w:t>
            </w:r>
          </w:p>
        </w:tc>
        <w:tc>
          <w:tcPr>
            <w:tcW w:w="5000" w:type="dxa"/>
            <w:gridSpan w:val="1"/>
            <w:noWrap/>
          </w:tcPr>
          <w:p>
            <w:pPr/>
            <w:r>
              <w:rPr/>
              <w:t xml:space="preserve">10532</w:t>
            </w:r>
          </w:p>
        </w:tc>
      </w:tr>
      <w:tr>
        <w:trPr/>
        <w:tc>
          <w:tcPr>
            <w:tcW w:w="5000" w:type="dxa"/>
            <w:gridSpan w:val="1"/>
            <w:noWrap/>
          </w:tcPr>
          <w:p>
            <w:pPr/>
            <w:r>
              <w:rPr/>
              <w:t xml:space="preserve">Title</w:t>
            </w:r>
          </w:p>
        </w:tc>
        <w:tc>
          <w:tcPr>
            <w:tcW w:w="5000" w:type="dxa"/>
            <w:gridSpan w:val="1"/>
            <w:noWrap/>
          </w:tcPr>
          <w:p>
            <w:pPr/>
            <w:r>
              <w:rPr/>
              <w:t xml:space="preserve">Securing Long-Term Sustainability of Multi-functional Landscapes in Critical River Basins of the Philippines</w:t>
            </w:r>
          </w:p>
        </w:tc>
      </w:tr>
      <w:tr>
        <w:trPr/>
        <w:tc>
          <w:tcPr>
            <w:tcW w:w="5000" w:type="dxa"/>
            <w:gridSpan w:val="1"/>
            <w:noWrap/>
          </w:tcPr>
          <w:p>
            <w:pPr/>
            <w:r>
              <w:rPr/>
              <w:t xml:space="preserve">Country(ies)</w:t>
            </w:r>
          </w:p>
        </w:tc>
        <w:tc>
          <w:tcPr>
            <w:tcW w:w="5000" w:type="dxa"/>
            <w:gridSpan w:val="1"/>
            <w:noWrap/>
          </w:tcPr>
          <w:p>
            <w:pPr/>
            <w:r>
              <w:rPr/>
              <w:t xml:space="preserve">Philippines, Philippines</w:t>
            </w:r>
          </w:p>
        </w:tc>
      </w:tr>
      <w:tr>
        <w:trPr/>
        <w:tc>
          <w:tcPr>
            <w:tcW w:w="5000" w:type="dxa"/>
            <w:gridSpan w:val="1"/>
            <w:noWrap/>
          </w:tcPr>
          <w:p>
            <w:pPr/>
            <w:r>
              <w:rPr/>
              <w:t xml:space="preserve">UNDP Technical Team</w:t>
            </w:r>
          </w:p>
        </w:tc>
        <w:tc>
          <w:tcPr>
            <w:tcW w:w="5000" w:type="dxa"/>
            <w:gridSpan w:val="1"/>
            <w:noWrap/>
          </w:tcPr>
          <w:p>
            <w:pPr/>
            <w:r>
              <w:rPr/>
              <w:t xml:space="preserve">Ecosystems and Biodiversity</w:t>
            </w:r>
          </w:p>
        </w:tc>
      </w:tr>
      <w:tr>
        <w:trPr/>
        <w:tc>
          <w:tcPr>
            <w:tcW w:w="5000" w:type="dxa"/>
            <w:gridSpan w:val="1"/>
            <w:noWrap/>
          </w:tcPr>
          <w:p>
            <w:pPr/>
            <w:r>
              <w:rPr/>
              <w:t xml:space="preserve">Management Arrangements</w:t>
            </w:r>
          </w:p>
        </w:tc>
        <w:tc>
          <w:tcPr>
            <w:tcW w:w="5000" w:type="dxa"/>
            <w:gridSpan w:val="1"/>
            <w:noWrap/>
          </w:tcPr>
          <w:p>
            <w:pPr/>
            <w:r>
              <w:rPr/>
              <w:t xml:space="preserve">CO Support to NIM</w:t>
            </w:r>
          </w:p>
        </w:tc>
      </w:tr>
      <w:tr>
        <w:trPr/>
        <w:tc>
          <w:tcPr>
            <w:tcW w:w="5000" w:type="dxa"/>
            <w:gridSpan w:val="1"/>
            <w:noWrap/>
          </w:tcPr>
          <w:p>
            <w:pPr/>
            <w:r>
              <w:rPr/>
              <w:t xml:space="preserve">Project Implementing Partner</w:t>
            </w:r>
          </w:p>
        </w:tc>
        <w:tc>
          <w:tcPr>
            <w:tcW w:w="5000" w:type="dxa"/>
            <w:gridSpan w:val="1"/>
            <w:noWrap/>
          </w:tcPr>
          <w:p>
            <w:pPr/>
            <w:r>
              <w:rPr/>
              <w:t xml:space="preserve">Department of Agriculture- Bureau of Soils and Water Management (DA-BSWM)</w:t>
            </w:r>
          </w:p>
        </w:tc>
      </w:tr>
      <w:tr>
        <w:trPr/>
        <w:tc>
          <w:tcPr>
            <w:tcW w:w="5000" w:type="dxa"/>
            <w:gridSpan w:val="1"/>
            <w:noWrap/>
          </w:tcPr>
          <w:p>
            <w:pPr/>
            <w:r>
              <w:rPr/>
              <w:t xml:space="preserve">Joint Agencies</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Project Type</w:t>
            </w:r>
          </w:p>
        </w:tc>
        <w:tc>
          <w:tcPr>
            <w:tcW w:w="5000" w:type="dxa"/>
            <w:gridSpan w:val="1"/>
            <w:noWrap/>
          </w:tcPr>
          <w:p>
            <w:pPr/>
            <w:r>
              <w:rPr/>
              <w:t xml:space="preserve">Full Size</w:t>
            </w:r>
          </w:p>
        </w:tc>
      </w:tr>
      <w:tr>
        <w:trPr/>
        <w:tc>
          <w:tcPr>
            <w:tcW w:w="5000" w:type="dxa"/>
            <w:gridSpan w:val="1"/>
            <w:noWrap/>
          </w:tcPr>
          <w:p>
            <w:pPr/>
            <w:r>
              <w:rPr/>
              <w:t xml:space="preserve">Implementation Status</w:t>
            </w:r>
          </w:p>
        </w:tc>
        <w:tc>
          <w:tcPr>
            <w:tcW w:w="5000" w:type="dxa"/>
            <w:gridSpan w:val="1"/>
            <w:noWrap/>
          </w:tcPr>
          <w:p>
            <w:pPr/>
            <w:r>
              <w:rPr/>
              <w:t xml:space="preserve">2nd PIR</w:t>
            </w:r>
          </w:p>
        </w:tc>
      </w:tr>
      <w:tr>
        <w:trPr/>
        <w:tc>
          <w:tcPr>
            <w:tcW w:w="5000" w:type="dxa"/>
            <w:gridSpan w:val="1"/>
            <w:noWrap/>
          </w:tcPr>
          <w:p>
            <w:pPr/>
            <w:r>
              <w:rPr/>
              <w:t xml:space="preserve">GEF Fiscal Year</w:t>
            </w:r>
          </w:p>
        </w:tc>
        <w:tc>
          <w:tcPr>
            <w:tcW w:w="5000" w:type="dxa"/>
            <w:gridSpan w:val="1"/>
            <w:noWrap/>
          </w:tcPr>
          <w:p>
            <w:pPr/>
            <w:r>
              <w:rPr/>
              <w:t xml:space="preserve">FY25</w:t>
            </w:r>
          </w:p>
        </w:tc>
      </w:tr>
      <w:tr>
        <w:trPr/>
        <w:tc>
          <w:tcPr>
            <w:tcW w:w="5000" w:type="dxa"/>
            <w:gridSpan w:val="1"/>
            <w:noWrap/>
          </w:tcPr>
          <w:p>
            <w:pPr/>
            <w:r>
              <w:rPr/>
              <w:t xml:space="preserve">Trust Fund</w:t>
            </w:r>
          </w:p>
        </w:tc>
        <w:tc>
          <w:tcPr>
            <w:tcW w:w="5000" w:type="dxa"/>
            <w:gridSpan w:val="1"/>
            <w:noWrap/>
          </w:tcPr>
          <w:p>
            <w:pPr/>
            <w:r>
              <w:rPr/>
              <w:t xml:space="preserve">GEF Trust Fund</w:t>
            </w:r>
          </w:p>
        </w:tc>
      </w:tr>
    </w:tbl>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Project Description</w:t>
            </w:r>
          </w:p>
        </w:tc>
      </w:tr>
      <w:tr>
        <w:trPr/>
        <w:tc>
          <w:tcPr>
            <w:tcW w:w="10000" w:type="dxa"/>
            <w:gridSpan w:val="1"/>
            <w:noWrap/>
          </w:tcPr>
          <w:p>
            <w:pPr/>
            <w:r>
              <w:rPr/>
              <w:t xml:space="preserve">To secure long-term multifunctionality of river basin landscapes by creating an enabling environment for implementing the National Land Degradation Neutrality target and mainstreaming biodiversity-friendly agricultural practices  through national policy framework and strengthening technical capacity on integrated landscape management and sustainable land management.</w:t>
            </w:r>
          </w:p>
        </w:tc>
      </w:tr>
    </w:tbl>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2"/>
            <w:noWrap/>
          </w:tcPr>
          <w:p>
            <w:pPr/>
            <w:r>
              <w:rPr>
                <w:b w:val="1"/>
                <w:bCs w:val="1"/>
              </w:rPr>
              <w:t xml:space="preserve">Project Contacts</w:t>
            </w:r>
          </w:p>
        </w:tc>
      </w:tr>
      <w:tr>
        <w:trPr/>
        <w:tc>
          <w:tcPr>
            <w:tcW w:w="5000" w:type="dxa"/>
            <w:gridSpan w:val="1"/>
            <w:noWrap/>
          </w:tcPr>
          <w:p>
            <w:pPr/>
            <w:r>
              <w:rPr/>
              <w:t xml:space="preserve">UNDP BPPS Technical Advisor</w:t>
            </w:r>
          </w:p>
        </w:tc>
        <w:tc>
          <w:tcPr>
            <w:tcW w:w="5000" w:type="dxa"/>
            <w:gridSpan w:val="1"/>
            <w:noWrap/>
          </w:tcPr>
          <w:p>
            <w:pPr/>
            <w:r>
              <w:rPr/>
              <w:t xml:space="preserve">Ms. Solene Le Doze (solene.le.doze@undp.org)</w:t>
            </w:r>
          </w:p>
        </w:tc>
      </w:tr>
      <w:tr>
        <w:trPr/>
        <w:tc>
          <w:tcPr>
            <w:tcW w:w="5000" w:type="dxa"/>
            <w:gridSpan w:val="1"/>
            <w:noWrap/>
          </w:tcPr>
          <w:p>
            <w:pPr/>
            <w:r>
              <w:rPr/>
              <w:t xml:space="preserve">UNDP BPPS Programme Associate</w:t>
            </w:r>
          </w:p>
        </w:tc>
        <w:tc>
          <w:tcPr>
            <w:tcW w:w="5000" w:type="dxa"/>
            <w:gridSpan w:val="1"/>
            <w:noWrap/>
          </w:tcPr>
          <w:p>
            <w:pPr/>
            <w:r>
              <w:rPr/>
              <w:t xml:space="preserve">Ms. Pinyavi Chaiwongsrisuk (pinyavi.chaiwongsrisuk@undp.org)</w:t>
            </w:r>
          </w:p>
        </w:tc>
      </w:tr>
      <w:tr>
        <w:trPr/>
        <w:tc>
          <w:tcPr>
            <w:tcW w:w="5000" w:type="dxa"/>
            <w:gridSpan w:val="1"/>
            <w:noWrap/>
          </w:tcPr>
          <w:p>
            <w:pPr/>
            <w:r>
              <w:rPr/>
              <w:t xml:space="preserve">UNDP BPPS SES Technical Advisor</w:t>
            </w:r>
          </w:p>
        </w:tc>
        <w:tc>
          <w:tcPr>
            <w:tcW w:w="5000" w:type="dxa"/>
            <w:gridSpan w:val="1"/>
            <w:noWrap/>
          </w:tcPr>
          <w:p>
            <w:pPr/>
            <w:r>
              <w:rPr/>
              <w:t xml:space="preserve">Mr. Richard Rastall (richard.rastall@undp.org)</w:t>
            </w:r>
          </w:p>
        </w:tc>
      </w:tr>
      <w:tr>
        <w:trPr/>
        <w:tc>
          <w:tcPr>
            <w:tcW w:w="5000" w:type="dxa"/>
            <w:gridSpan w:val="1"/>
            <w:noWrap/>
          </w:tcPr>
          <w:p>
            <w:pPr/>
            <w:r>
              <w:rPr/>
              <w:t xml:space="preserve">Project Manager/Coordinator</w:t>
            </w:r>
          </w:p>
        </w:tc>
        <w:tc>
          <w:tcPr>
            <w:tcW w:w="5000" w:type="dxa"/>
            <w:gridSpan w:val="1"/>
            <w:noWrap/>
          </w:tcPr>
          <w:p>
            <w:pPr/>
            <w:r>
              <w:rPr>
                <w:i w:val="1"/>
                <w:iCs w:val="1"/>
              </w:rPr>
              <w:t xml:space="preserve">(not set or not applicable)</w:t>
            </w:r>
          </w:p>
        </w:tc>
      </w:tr>
      <w:tr>
        <w:trPr/>
        <w:tc>
          <w:tcPr>
            <w:tcW w:w="5000" w:type="dxa"/>
            <w:gridSpan w:val="1"/>
            <w:noWrap/>
          </w:tcPr>
          <w:p>
            <w:pPr/>
            <w:r>
              <w:rPr/>
              <w:t xml:space="preserve">UNDP Country Office Programme Officer</w:t>
            </w:r>
          </w:p>
        </w:tc>
        <w:tc>
          <w:tcPr>
            <w:tcW w:w="5000" w:type="dxa"/>
            <w:gridSpan w:val="1"/>
            <w:noWrap/>
          </w:tcPr>
          <w:p>
            <w:pPr/>
            <w:r>
              <w:rPr/>
              <w:t xml:space="preserve">Mark Anthony Ramirez (mark.anthony.ramirez@undp.org)</w:t>
            </w:r>
          </w:p>
          <w:p>
            <w:pPr/>
            <w:r>
              <w:rPr/>
              <w:t xml:space="preserve">Ms. Floradema Calanasan ELEAZAR (floradema.eleazar@undp.org)</w:t>
            </w:r>
          </w:p>
        </w:tc>
      </w:tr>
      <w:tr>
        <w:trPr/>
        <w:tc>
          <w:tcPr>
            <w:tcW w:w="5000" w:type="dxa"/>
            <w:gridSpan w:val="1"/>
            <w:noWrap/>
          </w:tcPr>
          <w:p>
            <w:pPr/>
            <w:r>
              <w:rPr/>
              <w:t xml:space="preserve">UNDP Country Office Deputy Resident Representative</w:t>
            </w:r>
          </w:p>
        </w:tc>
        <w:tc>
          <w:tcPr>
            <w:tcW w:w="5000" w:type="dxa"/>
            <w:gridSpan w:val="1"/>
            <w:noWrap/>
          </w:tcPr>
          <w:p>
            <w:pPr/>
            <w:r>
              <w:rPr/>
              <w:t xml:space="preserve">Mr. Edwine Carrie (edwine.carrie@undp.org)</w:t>
            </w:r>
          </w:p>
        </w:tc>
      </w:tr>
      <w:tr>
        <w:trPr/>
        <w:tc>
          <w:tcPr>
            <w:tcW w:w="5000" w:type="dxa"/>
            <w:gridSpan w:val="1"/>
            <w:noWrap/>
          </w:tcPr>
          <w:p>
            <w:pPr/>
            <w:r>
              <w:rPr/>
              <w:t xml:space="preserve">UNDP Regional Bureau Desk Officer</w:t>
            </w:r>
          </w:p>
        </w:tc>
        <w:tc>
          <w:tcPr>
            <w:tcW w:w="5000" w:type="dxa"/>
            <w:gridSpan w:val="1"/>
            <w:noWrap/>
          </w:tcPr>
          <w:p>
            <w:pPr/>
            <w:r>
              <w:rPr/>
              <w:t xml:space="preserve">Mr. Sharad Neupane (sharad.neupane@undp.org)</w:t>
            </w:r>
          </w:p>
        </w:tc>
      </w:tr>
      <w:tr>
        <w:trPr/>
        <w:tc>
          <w:tcPr>
            <w:tcW w:w="5000" w:type="dxa"/>
            <w:gridSpan w:val="1"/>
            <w:noWrap/>
          </w:tcPr>
          <w:p>
            <w:pPr/>
            <w:r>
              <w:rPr/>
              <w:t xml:space="preserve">GEF Operational Focal Point</w:t>
            </w:r>
          </w:p>
        </w:tc>
        <w:tc>
          <w:tcPr>
            <w:tcW w:w="5000" w:type="dxa"/>
            <w:gridSpan w:val="1"/>
            <w:noWrap/>
          </w:tcPr>
          <w:p>
            <w:pPr/>
            <w:r>
              <w:rPr/>
              <w:t xml:space="preserve">Ms. Analiza Rebuelta-Teh (tehanna08@gmail.com)</w:t>
            </w:r>
          </w:p>
        </w:tc>
      </w:tr>
      <w:tr>
        <w:trPr/>
        <w:tc>
          <w:tcPr>
            <w:tcW w:w="5000" w:type="dxa"/>
            <w:gridSpan w:val="1"/>
            <w:noWrap/>
          </w:tcPr>
          <w:p>
            <w:pPr/>
            <w:r>
              <w:rPr/>
              <w:t xml:space="preserve">Project Implementing Partner</w:t>
            </w:r>
          </w:p>
        </w:tc>
        <w:tc>
          <w:tcPr>
            <w:tcW w:w="5000" w:type="dxa"/>
            <w:gridSpan w:val="1"/>
            <w:noWrap/>
          </w:tcPr>
          <w:p>
            <w:pPr/>
            <w:r>
              <w:rPr/>
              <w:t xml:space="preserve">GINA NILO (gina.nilo@bswm.da.gov.ph)</w:t>
            </w:r>
          </w:p>
        </w:tc>
      </w:tr>
      <w:tr>
        <w:trPr/>
        <w:tc>
          <w:tcPr>
            <w:tcW w:w="5000" w:type="dxa"/>
            <w:gridSpan w:val="1"/>
            <w:noWrap/>
          </w:tcPr>
          <w:p>
            <w:pPr/>
            <w:r>
              <w:rPr/>
              <w:t xml:space="preserve">Other Partners</w:t>
            </w:r>
          </w:p>
        </w:tc>
        <w:tc>
          <w:tcPr>
            <w:tcW w:w="5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 w:name="_Toc1"/>
      <w:r>
        <w:t>Key project dates</w:t>
      </w:r>
      <w:bookmarkEnd w:id="1"/>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Project duration</w:t>
            </w:r>
          </w:p>
        </w:tc>
        <w:tc>
          <w:tcPr>
            <w:tcW w:w="5000" w:type="dxa"/>
            <w:vAlign w:val="center"/>
            <w:gridSpan w:val="1"/>
            <w:noWrap/>
          </w:tcPr>
          <w:p>
            <w:pPr>
              <w:jc w:val="right"/>
            </w:pPr>
            <w:r>
              <w:rPr/>
              <w:t xml:space="preserve">60 months</w:t>
            </w:r>
          </w:p>
        </w:tc>
      </w:tr>
      <w:tr>
        <w:trPr/>
        <w:tc>
          <w:tcPr>
            <w:tcW w:w="5000" w:type="dxa"/>
            <w:gridSpan w:val="1"/>
            <w:noWrap/>
          </w:tcPr>
          <w:p>
            <w:pPr/>
            <w:r>
              <w:rPr/>
              <w:t xml:space="preserve">PIF Approval Date</w:t>
            </w:r>
          </w:p>
        </w:tc>
        <w:tc>
          <w:tcPr>
            <w:tcW w:w="5000" w:type="dxa"/>
            <w:vAlign w:val="center"/>
            <w:gridSpan w:val="1"/>
            <w:noWrap/>
          </w:tcPr>
          <w:p>
            <w:pPr>
              <w:jc w:val="right"/>
            </w:pPr>
            <w:r>
              <w:rPr/>
              <w:t xml:space="preserve">Jun 3, 2020</w:t>
            </w:r>
          </w:p>
        </w:tc>
      </w:tr>
      <w:tr>
        <w:trPr/>
        <w:tc>
          <w:tcPr>
            <w:tcW w:w="5000" w:type="dxa"/>
            <w:gridSpan w:val="1"/>
            <w:noWrap/>
          </w:tcPr>
          <w:p>
            <w:pPr/>
            <w:r>
              <w:rPr/>
              <w:t xml:space="preserve">CEO Endorsement Date</w:t>
            </w:r>
          </w:p>
        </w:tc>
        <w:tc>
          <w:tcPr>
            <w:tcW w:w="5000" w:type="dxa"/>
            <w:vAlign w:val="center"/>
            <w:gridSpan w:val="1"/>
            <w:noWrap/>
          </w:tcPr>
          <w:p>
            <w:pPr>
              <w:jc w:val="right"/>
            </w:pPr>
            <w:r>
              <w:rPr/>
              <w:t xml:space="preserve">May 24, 2022</w:t>
            </w:r>
          </w:p>
        </w:tc>
      </w:tr>
      <w:tr>
        <w:trPr/>
        <w:tc>
          <w:tcPr>
            <w:tcW w:w="5000" w:type="dxa"/>
            <w:gridSpan w:val="1"/>
            <w:noWrap/>
          </w:tcPr>
          <w:p>
            <w:pPr/>
            <w:r>
              <w:rPr/>
              <w:t xml:space="preserve">Project Document Signature Date (project start date):</w:t>
            </w:r>
          </w:p>
        </w:tc>
        <w:tc>
          <w:tcPr>
            <w:tcW w:w="5000" w:type="dxa"/>
            <w:vAlign w:val="center"/>
            <w:gridSpan w:val="1"/>
            <w:noWrap/>
          </w:tcPr>
          <w:p>
            <w:pPr>
              <w:jc w:val="right"/>
            </w:pPr>
            <w:r>
              <w:rPr/>
              <w:t xml:space="preserve">Jul 27, 2023</w:t>
            </w:r>
          </w:p>
        </w:tc>
      </w:tr>
      <w:tr>
        <w:trPr/>
        <w:tc>
          <w:tcPr>
            <w:tcW w:w="5000" w:type="dxa"/>
            <w:gridSpan w:val="1"/>
            <w:noWrap/>
          </w:tcPr>
          <w:p>
            <w:pPr/>
            <w:r>
              <w:rPr/>
              <w:t xml:space="preserve">Date of Inception Workshop</w:t>
            </w:r>
          </w:p>
        </w:tc>
        <w:tc>
          <w:tcPr>
            <w:tcW w:w="5000" w:type="dxa"/>
            <w:vAlign w:val="center"/>
            <w:gridSpan w:val="1"/>
            <w:noWrap/>
          </w:tcPr>
          <w:p>
            <w:pPr>
              <w:jc w:val="right"/>
            </w:pPr>
            <w:r>
              <w:rPr/>
              <w:t xml:space="preserve">Oct 18, 2024</w:t>
            </w:r>
          </w:p>
        </w:tc>
      </w:tr>
      <w:tr>
        <w:trPr/>
        <w:tc>
          <w:tcPr>
            <w:tcW w:w="5000" w:type="dxa"/>
            <w:gridSpan w:val="1"/>
            <w:noWrap/>
          </w:tcPr>
          <w:p>
            <w:pPr/>
            <w:r>
              <w:rPr/>
              <w:t xml:space="preserve">First Disbursement Date</w:t>
            </w:r>
          </w:p>
        </w:tc>
        <w:tc>
          <w:tcPr>
            <w:tcW w:w="5000" w:type="dxa"/>
            <w:vAlign w:val="center"/>
            <w:gridSpan w:val="1"/>
            <w:noWrap/>
          </w:tcPr>
          <w:p>
            <w:pPr>
              <w:jc w:val="right"/>
            </w:pPr>
            <w:r>
              <w:rPr/>
              <w:t xml:space="preserve">Oct 13, 2024</w:t>
            </w:r>
          </w:p>
        </w:tc>
      </w:tr>
      <w:tr>
        <w:trPr/>
        <w:tc>
          <w:tcPr>
            <w:tcW w:w="5000" w:type="dxa"/>
            <w:gridSpan w:val="1"/>
            <w:noWrap/>
          </w:tcPr>
          <w:p>
            <w:pPr/>
            <w:r>
              <w:rPr/>
              <w:t xml:space="preserve">Expected Date of Mid-term Review</w:t>
            </w:r>
          </w:p>
        </w:tc>
        <w:tc>
          <w:tcPr>
            <w:tcW w:w="5000" w:type="dxa"/>
            <w:vAlign w:val="center"/>
            <w:gridSpan w:val="1"/>
            <w:noWrap/>
          </w:tcPr>
          <w:p>
            <w:pPr>
              <w:jc w:val="right"/>
            </w:pPr>
            <w:r>
              <w:rPr/>
              <w:t xml:space="preserve">Jan 27, 2026</w:t>
            </w:r>
          </w:p>
        </w:tc>
      </w:tr>
      <w:tr>
        <w:trPr/>
        <w:tc>
          <w:tcPr>
            <w:tcW w:w="5000" w:type="dxa"/>
            <w:gridSpan w:val="1"/>
            <w:noWrap/>
          </w:tcPr>
          <w:p>
            <w:pPr/>
            <w:r>
              <w:rPr/>
              <w:t xml:space="preserve">Actual Date of Mid-term Review</w:t>
            </w:r>
          </w:p>
        </w:tc>
        <w:tc>
          <w:tcPr>
            <w:tcW w:w="5000" w:type="dxa"/>
            <w:vAlign w:val="center"/>
            <w:gridSpan w:val="1"/>
            <w:noWrap/>
          </w:tcPr>
          <w:p>
            <w:pPr>
              <w:jc w:val="right"/>
            </w:pPr>
            <w:r>
              <w:rPr>
                <w:i w:val="1"/>
                <w:iCs w:val="1"/>
              </w:rPr>
              <w:t xml:space="preserve">(not set or not applicable)</w:t>
            </w:r>
          </w:p>
        </w:tc>
      </w:tr>
      <w:tr>
        <w:trPr/>
        <w:tc>
          <w:tcPr>
            <w:tcW w:w="5000" w:type="dxa"/>
            <w:gridSpan w:val="1"/>
            <w:noWrap/>
          </w:tcPr>
          <w:p>
            <w:pPr/>
            <w:r>
              <w:rPr/>
              <w:t xml:space="preserve">Expected Date of Terminal Evaluation</w:t>
            </w:r>
          </w:p>
        </w:tc>
        <w:tc>
          <w:tcPr>
            <w:tcW w:w="5000" w:type="dxa"/>
            <w:vAlign w:val="center"/>
            <w:gridSpan w:val="1"/>
            <w:noWrap/>
          </w:tcPr>
          <w:p>
            <w:pPr>
              <w:jc w:val="right"/>
            </w:pPr>
            <w:r>
              <w:rPr/>
              <w:t xml:space="preserve">Apr 27, 2028</w:t>
            </w:r>
          </w:p>
        </w:tc>
      </w:tr>
      <w:tr>
        <w:trPr/>
        <w:tc>
          <w:tcPr>
            <w:tcW w:w="5000" w:type="dxa"/>
            <w:gridSpan w:val="1"/>
            <w:noWrap/>
          </w:tcPr>
          <w:p>
            <w:pPr/>
            <w:r>
              <w:rPr/>
              <w:t xml:space="preserve">Original Planned Closing Date</w:t>
            </w:r>
          </w:p>
        </w:tc>
        <w:tc>
          <w:tcPr>
            <w:tcW w:w="5000" w:type="dxa"/>
            <w:vAlign w:val="center"/>
            <w:gridSpan w:val="1"/>
            <w:noWrap/>
          </w:tcPr>
          <w:p>
            <w:pPr>
              <w:jc w:val="right"/>
            </w:pPr>
            <w:r>
              <w:rPr/>
              <w:t xml:space="preserve">Jul 27, 2028</w:t>
            </w:r>
          </w:p>
        </w:tc>
      </w:tr>
      <w:tr>
        <w:trPr/>
        <w:tc>
          <w:tcPr>
            <w:tcW w:w="5000" w:type="dxa"/>
            <w:gridSpan w:val="1"/>
            <w:noWrap/>
          </w:tcPr>
          <w:p>
            <w:pPr/>
            <w:r>
              <w:rPr/>
              <w:t xml:space="preserve">Revised Planned Closing Date</w:t>
            </w:r>
          </w:p>
        </w:tc>
        <w:tc>
          <w:tcPr>
            <w:tcW w:w="5000" w:type="dxa"/>
            <w:vAlign w:val="center"/>
            <w:gridSpan w:val="1"/>
            <w:noWrap/>
          </w:tcPr>
          <w:p>
            <w:pPr>
              <w:jc w:val="right"/>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2" w:name="_Toc2"/>
      <w:r>
        <w:t>Overall ratings</w:t>
      </w:r>
      <w:bookmarkEnd w:id="2"/>
    </w:p>
    <w:tbl>
      <w:tblGrid>
        <w:gridCol w:w="8000" w:type="dxa"/>
        <w:gridCol w:w="8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8000" w:type="dxa"/>
            <w:gridSpan w:val="1"/>
            <w:noWrap/>
          </w:tcPr>
          <w:p>
            <w:pPr/>
            <w:r>
              <w:rPr/>
              <w:t xml:space="preserve">Overall DO Rating</w:t>
            </w:r>
          </w:p>
        </w:tc>
        <w:tc>
          <w:tcPr>
            <w:tcW w:w="8000" w:type="dxa"/>
            <w:gridSpan w:val="1"/>
            <w:noWrap/>
          </w:tcPr>
          <w:p>
            <w:pPr/>
            <w:r>
              <w:rPr/>
              <w:t xml:space="preserve">Moderately Unsatisfactory</w:t>
            </w:r>
          </w:p>
        </w:tc>
      </w:tr>
      <w:tr>
        <w:trPr/>
        <w:tc>
          <w:tcPr>
            <w:tcW w:w="8000" w:type="dxa"/>
            <w:gridSpan w:val="1"/>
            <w:noWrap/>
          </w:tcPr>
          <w:p>
            <w:pPr/>
            <w:r>
              <w:rPr/>
              <w:t xml:space="preserve">Overall IP Rating</w:t>
            </w:r>
          </w:p>
        </w:tc>
        <w:tc>
          <w:tcPr>
            <w:tcW w:w="8000" w:type="dxa"/>
            <w:gridSpan w:val="1"/>
            <w:noWrap/>
          </w:tcPr>
          <w:p>
            <w:pPr/>
            <w:r>
              <w:rPr/>
              <w:t xml:space="preserve">Moderately Unsatisfactory</w:t>
            </w:r>
          </w:p>
        </w:tc>
      </w:tr>
      <w:tr>
        <w:trPr/>
        <w:tc>
          <w:tcPr>
            <w:tcW w:w="8000" w:type="dxa"/>
            <w:gridSpan w:val="1"/>
            <w:noWrap/>
          </w:tcPr>
          <w:p>
            <w:pPr/>
            <w:r>
              <w:rPr/>
              <w:t xml:space="preserve">Overall Risk Rating</w:t>
            </w:r>
          </w:p>
        </w:tc>
        <w:tc>
          <w:tcPr>
            <w:tcW w:w="8000" w:type="dxa"/>
            <w:gridSpan w:val="1"/>
            <w:noWrap/>
          </w:tcPr>
          <w:p>
            <w:pPr/>
            <w:r>
              <w:rPr/>
              <w:t xml:space="preserve">low</w:t>
            </w:r>
          </w:p>
        </w:tc>
      </w:tr>
    </w:tbl>
    <w:p>
      <w:pPr>
        <w:sectPr>
          <w:pgSz w:orient="portrait" w:w="11905.511811023622" w:h="16837.79527559055"/>
          <w:pgMar w:top="1440" w:right="1440" w:bottom="1440" w:left="1440" w:header="720" w:footer="720" w:gutter="0"/>
          <w:cols w:num="1" w:space="720"/>
        </w:sectPr>
      </w:pPr>
    </w:p>
    <w:p>
      <w:pPr>
        <w:pStyle w:val="Heading1"/>
      </w:pPr>
      <w:bookmarkStart w:id="3" w:name="_Toc3"/>
      <w:r>
        <w:t>Development Objective Progress</w:t>
      </w:r>
      <w:bookmarkEnd w:id="3"/>
    </w:p>
    <w:p>
      <w:pPr/>
      <w:r>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Grid>
        <w:gridCol w:w="4000" w:type="dxa"/>
        <w:gridCol w:w="2000" w:type="dxa"/>
        <w:gridCol w:w="2000" w:type="dxa"/>
        <w:gridCol w:w="2000" w:type="dxa"/>
        <w:gridCol w:w="4000" w:type="dxa"/>
        <w:gridCol w:w="4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6000" w:type="dxa"/>
            <w:gridSpan w:val="7"/>
            <w:noWrap/>
          </w:tcPr>
          <w:p>
            <w:pPr/>
            <w:r>
              <w:rPr>
                <w:b w:val="1"/>
                <w:bCs w:val="1"/>
              </w:rPr>
              <w:t xml:space="preserve">Description</w:t>
            </w:r>
          </w:p>
        </w:tc>
      </w:tr>
      <w:tr>
        <w:trPr/>
        <w:tc>
          <w:tcPr>
            <w:tcW w:w="16000" w:type="dxa"/>
            <w:shd w:val="clear" w:fill="#D9D9D9"/>
            <w:gridSpan w:val="7"/>
            <w:noWrap/>
          </w:tcPr>
          <w:p>
            <w:pPr/>
            <w:r>
              <w:rPr>
                <w:b w:val="1"/>
                <w:bCs w:val="1"/>
              </w:rPr>
              <w:t xml:space="preserve">Objective</w:t>
            </w:r>
          </w:p>
          <w:p>
            <w:pPr/>
            <w:r>
              <w:rPr>
                <w:b w:val="1"/>
                <w:bCs w:val="1"/>
              </w:rPr>
              <w:t xml:space="preserve">To create an enabling environment for the realization of the National Land Degradation Neutrality Target and to mainstream biodiversity-friendly agricultural practices in the Cagayan de Oro River Basin (CDORB) through national policy framework implementation and capacity strengthening.</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Mandatory Indicator 1: Number of hectares of productive lands managed through direct SLM and BDFA practices and principles implementation, replications and policy interventions   .</w:t>
            </w:r>
          </w:p>
          <w:p>
            <w:pPr/>
            <w:r>
              <w:rPr/>
              <w:t xml:space="preserve">Contributes to GEF core indicator 4 sup-indicator 4.1 and 4.3</w:t>
            </w:r>
          </w:p>
          <w:p>
            <w:pPr/>
            <w:r>
              <w:rPr/>
              <w:t xml:space="preserve">Contributes to the National LDN target 1</w:t>
            </w:r>
          </w:p>
          <w:p>
            <w:pPr/>
            <w:r>
              <w:rPr/>
              <w:t xml:space="preserve"/>
            </w:r>
          </w:p>
        </w:tc>
        <w:tc>
          <w:tcPr>
            <w:tcW w:w="2000" w:type="dxa"/>
            <w:gridSpan w:val="1"/>
            <w:noWrap/>
          </w:tcPr>
          <w:p>
            <w:pPr/>
            <w:r>
              <w:rPr/>
              <w:t xml:space="preserve">•	Kalawaig River: 24,186.44 ha</w:t>
            </w:r>
          </w:p>
          <w:p>
            <w:pPr/>
            <w:r>
              <w:rPr/>
              <w:t xml:space="preserve">•	Bubunawan River: 21,419.65 ha</w:t>
            </w:r>
          </w:p>
          <w:p>
            <w:pPr/>
            <w:r>
              <w:rPr/>
              <w:t xml:space="preserve">•	Batang River: 28,460.60 ha</w:t>
            </w:r>
          </w:p>
          <w:p>
            <w:pPr/>
            <w:r>
              <w:rPr/>
              <w:t xml:space="preserve">•	Tumalaong River: 13,636.79 ha</w:t>
            </w:r>
          </w:p>
          <w:p>
            <w:pPr/>
            <w:r>
              <w:rPr/>
              <w:t xml:space="preserve">•	Pikalin River: 7,338.63 ha</w:t>
            </w:r>
          </w:p>
          <w:p>
            <w:pPr/>
            <w:r>
              <w:rPr/>
              <w:t xml:space="preserve">•	Tagiti River: 3,350.86 ha</w:t>
            </w:r>
          </w:p>
          <w:p>
            <w:pPr/>
            <w:r>
              <w:rPr/>
              <w:t xml:space="preserve">•	Pigcutin River: 25,930.83 ha</w:t>
            </w:r>
          </w:p>
          <w:p>
            <w:pPr/>
            <w:r>
              <w:rPr/>
              <w:t xml:space="preserve">•	Cagayan de Oro River: 14,405.19 ha</w:t>
            </w:r>
          </w:p>
          <w:p>
            <w:pPr/>
            <w:r>
              <w:rPr/>
              <w:t xml:space="preserve"/>
            </w:r>
          </w:p>
          <w:p>
            <w:pPr/>
            <w:r>
              <w:rPr/>
              <w:t xml:space="preserve">Note: SLM Data to be verified.</w:t>
            </w:r>
          </w:p>
          <w:p>
            <w:pPr/>
            <w:r>
              <w:rPr/>
              <w:t xml:space="preserve"/>
            </w:r>
          </w:p>
        </w:tc>
        <w:tc>
          <w:tcPr>
            <w:tcW w:w="2000" w:type="dxa"/>
            <w:gridSpan w:val="1"/>
            <w:noWrap/>
          </w:tcPr>
          <w:p>
            <w:pPr/>
            <w:r>
              <w:rPr/>
              <w:t xml:space="preserve">- Kalawaig Sub-watershed 2,000 ha</w:t>
            </w:r>
          </w:p>
          <w:p>
            <w:pPr/>
            <w:r>
              <w:rPr/>
              <w:t xml:space="preserve">- Bubuwanan Sub-watershed 2,000 ha</w:t>
            </w:r>
          </w:p>
          <w:p>
            <w:pPr/>
            <w:r>
              <w:rPr/>
              <w:t xml:space="preserve">- Batang Sub-watershed 1,000 ha</w:t>
            </w:r>
          </w:p>
          <w:p>
            <w:pPr/>
            <w:r>
              <w:rPr/>
              <w:t xml:space="preserve">- Bulaong Sub-watershed 1,000 ha</w:t>
            </w:r>
          </w:p>
          <w:p>
            <w:pPr/>
            <w:r>
              <w:rPr/>
              <w:t xml:space="preserve">- Tumalaong Sub-watershed 1,000 ha</w:t>
            </w:r>
          </w:p>
          <w:p>
            <w:pPr/>
            <w:r>
              <w:rPr/>
              <w:t xml:space="preserve">- Picalin Sub-watershed 1,000 ha</w:t>
            </w:r>
          </w:p>
          <w:p>
            <w:pPr/>
            <w:r>
              <w:rPr/>
              <w:t xml:space="preserve">- Mawala Sub-watershed 400 ha</w:t>
            </w:r>
          </w:p>
          <w:p>
            <w:pPr/>
            <w:r>
              <w:rPr/>
              <w:t xml:space="preserve">- Manigui Sub-watershed 400 ha</w:t>
            </w:r>
          </w:p>
        </w:tc>
        <w:tc>
          <w:tcPr>
            <w:tcW w:w="2000" w:type="dxa"/>
            <w:gridSpan w:val="1"/>
            <w:noWrap/>
          </w:tcPr>
          <w:p>
            <w:pPr/>
            <w:r>
              <w:rPr/>
              <w:t xml:space="preserve">- Kalawaig Sub-watershed 13,000 ha</w:t>
            </w:r>
          </w:p>
          <w:p>
            <w:pPr/>
            <w:r>
              <w:rPr/>
              <w:t xml:space="preserve">- Bubuwanan Sub-watershed 13,500 ha</w:t>
            </w:r>
          </w:p>
          <w:p>
            <w:pPr/>
            <w:r>
              <w:rPr/>
              <w:t xml:space="preserve">- Batang Sub-watershed 7,000 ha</w:t>
            </w:r>
          </w:p>
          <w:p>
            <w:pPr/>
            <w:r>
              <w:rPr/>
              <w:t xml:space="preserve">- Bulaong Sub-watershed 7,000 ha</w:t>
            </w:r>
          </w:p>
          <w:p>
            <w:pPr/>
            <w:r>
              <w:rPr/>
              <w:t xml:space="preserve">- Tumalaong Sub-watershed 6,500 ha</w:t>
            </w:r>
          </w:p>
          <w:p>
            <w:pPr/>
            <w:r>
              <w:rPr/>
              <w:t xml:space="preserve">- Picalin Sub-watershed 1,500 ha</w:t>
            </w:r>
          </w:p>
          <w:p>
            <w:pPr/>
            <w:r>
              <w:rPr/>
              <w:t xml:space="preserve">- Mawala Sub-watershed 2,500 ha</w:t>
            </w:r>
          </w:p>
          <w:p>
            <w:pPr/>
            <w:r>
              <w:rPr/>
              <w:t xml:space="preserve">- Manigui Sub-watershed 2,000 ha</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considered off-track due to the delayed commencement of activities. Percentage of delivery cannot be assessed due to the changes in the baseline level as discussed during the inception workshop. These changes emerged from the ongoing updating of the CDORB Master Plan and need to be validated during the implementation proper.</w:t>
            </w:r>
          </w:p>
          <w:p>
            <w:pPr/>
            <w:r>
              <w:rPr/>
              <w:t xml:space="preserve"/>
            </w:r>
          </w:p>
          <w:p>
            <w:pPr/>
            <w:r>
              <w:rPr/>
              <w:t xml:space="preserve">To address this discrepancy, BSWM and UNDP consulted the National PPG Team Lead to verify the applicability of the baseline data, given the delays in implementation.</w:t>
            </w:r>
          </w:p>
          <w:p>
            <w:pPr/>
            <w:r>
              <w:rPr/>
              <w:t xml:space="preserve"/>
            </w:r>
          </w:p>
          <w:p>
            <w:pPr/>
            <w:r>
              <w:rPr/>
              <w:t xml:space="preserve">Presently, BSWM is in the process of securing data, such as land use maps and updated CDORB sub-watershed maps, to validate the baseline changes for ground-truthing. The new mid-term and end-of-project targets will be determined during the first Project Board Meeting. Additionally, a catch-up plan will be formulated once the Project Management Unit (PMU) is on board.</w:t>
            </w:r>
          </w:p>
          <w:p>
            <w:pPr/>
            <w:r>
              <w:rPr/>
              <w:t xml:space="preserve"/>
            </w:r>
          </w:p>
          <w:p>
            <w:pPr/>
            <w:r>
              <w:rPr/>
              <w:t xml:space="preserve">As of the reporting period, project activities have not yet commenced, and the expected date of delivery of the activities will be determined by the PMU and included in the catch-up plan.</w:t>
            </w:r>
          </w:p>
          <w:p>
            <w:pPr/>
            <w:r>
              <w:rPr/>
              <w:t xml:space="preserve"/>
            </w:r>
          </w:p>
        </w:tc>
      </w:tr>
      <w:tr>
        <w:trPr/>
        <w:tc>
          <w:tcPr>
            <w:tcW w:w="4000" w:type="dxa"/>
            <w:gridSpan w:val="1"/>
            <w:noWrap/>
          </w:tcPr>
          <w:p>
            <w:pPr/>
            <w:r>
              <w:rPr/>
              <w:t xml:space="preserve">Mandatory Indiator 2: Number of hectares of riverine areas, in the CDORB 8 sub-watersheds, under restoration .</w:t>
            </w:r>
          </w:p>
          <w:p>
            <w:pPr/>
            <w:r>
              <w:rPr/>
              <w:t xml:space="preserve">Contributes to GEF core indicator 3 sub-indicator 3.1</w:t>
            </w:r>
          </w:p>
          <w:p>
            <w:pPr/>
            <w:r>
              <w:rPr/>
              <w:t xml:space="preserve">Contributes to the National LDN target 1</w:t>
            </w:r>
          </w:p>
          <w:p>
            <w:pPr/>
            <w:r>
              <w:rPr/>
              <w:t xml:space="preserve"/>
            </w:r>
          </w:p>
        </w:tc>
        <w:tc>
          <w:tcPr>
            <w:tcW w:w="2000" w:type="dxa"/>
            <w:gridSpan w:val="1"/>
            <w:noWrap/>
          </w:tcPr>
          <w:p>
            <w:pPr/>
            <w:r>
              <w:rPr/>
              <w:t xml:space="preserve">To be verified by the PMU</w:t>
            </w:r>
          </w:p>
        </w:tc>
        <w:tc>
          <w:tcPr>
            <w:tcW w:w="2000" w:type="dxa"/>
            <w:gridSpan w:val="1"/>
            <w:noWrap/>
          </w:tcPr>
          <w:p>
            <w:pPr/>
            <w:r>
              <w:rPr/>
              <w:t xml:space="preserve">1000 ha</w:t>
            </w:r>
          </w:p>
        </w:tc>
        <w:tc>
          <w:tcPr>
            <w:tcW w:w="2000" w:type="dxa"/>
            <w:gridSpan w:val="1"/>
            <w:noWrap/>
          </w:tcPr>
          <w:p>
            <w:pPr/>
            <w:r>
              <w:rPr/>
              <w:t xml:space="preserve">5,000 ha</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While waiting for the requested data, BSWM also conducted exploratory meetings with DA- Mindanao Inclusive Agriculture Development Project (DA-MIADP) for partnership and collaboration.</w:t>
            </w:r>
          </w:p>
          <w:p>
            <w:pPr/>
            <w:r>
              <w:rPr/>
              <w:t xml:space="preserve"/>
            </w:r>
          </w:p>
          <w:p>
            <w:pPr/>
            <w:r>
              <w:rPr/>
              <w:t xml:space="preserve">Once the PMU is engaged and the baseline data is validated, a catch-up plan will be developed accordingly to be approved by the Project Board.</w:t>
            </w:r>
          </w:p>
          <w:p>
            <w:pPr/>
            <w:r>
              <w:rPr/>
              <w:t xml:space="preserve"/>
            </w:r>
          </w:p>
          <w:p>
            <w:pPr/>
            <w:r>
              <w:rPr/>
              <w:t xml:space="preserve">As of the reporting period, project activities have not yet commenced, and the expected date of delivery will be determined by the PMU and included in the catch-up plan.</w:t>
            </w:r>
          </w:p>
          <w:p>
            <w:pPr/>
            <w:r>
              <w:rPr/>
              <w:t xml:space="preserve"/>
            </w:r>
          </w:p>
        </w:tc>
      </w:tr>
      <w:tr>
        <w:trPr/>
        <w:tc>
          <w:tcPr>
            <w:tcW w:w="4000" w:type="dxa"/>
            <w:gridSpan w:val="1"/>
            <w:noWrap/>
          </w:tcPr>
          <w:p>
            <w:pPr/>
            <w:r>
              <w:rPr/>
              <w:t xml:space="preserve">Mandatory Indicator 3: Number of stakeholders directly benefitting from the project’s activities and outputs.</w:t>
            </w:r>
          </w:p>
          <w:p>
            <w:pPr/>
            <w:r>
              <w:rPr/>
              <w:t xml:space="preserve">Contributes to GEF Core Indicator 11</w:t>
            </w:r>
          </w:p>
          <w:p>
            <w:pPr/>
            <w:r>
              <w:rPr/>
              <w:t xml:space="preserve"/>
            </w:r>
          </w:p>
        </w:tc>
        <w:tc>
          <w:tcPr>
            <w:tcW w:w="2000" w:type="dxa"/>
            <w:gridSpan w:val="1"/>
            <w:noWrap/>
          </w:tcPr>
          <w:p>
            <w:pPr/>
            <w:r>
              <w:rPr/>
              <w:t xml:space="preserve">To be verified by the PMU</w:t>
            </w:r>
          </w:p>
          <w:p>
            <w:pPr/>
            <w:r>
              <w:rPr/>
              <w:t xml:space="preserve"/>
            </w:r>
          </w:p>
        </w:tc>
        <w:tc>
          <w:tcPr>
            <w:tcW w:w="2000" w:type="dxa"/>
            <w:gridSpan w:val="1"/>
            <w:noWrap/>
          </w:tcPr>
          <w:p>
            <w:pPr/>
            <w:r>
              <w:rPr/>
              <w:t xml:space="preserve">11,000 Female</w:t>
            </w:r>
          </w:p>
          <w:p>
            <w:pPr/>
            <w:r>
              <w:rPr/>
              <w:t xml:space="preserve">11,500 Male</w:t>
            </w:r>
          </w:p>
          <w:p>
            <w:pPr/>
            <w:r>
              <w:rPr/>
              <w:t xml:space="preserve"/>
            </w:r>
          </w:p>
          <w:p>
            <w:pPr/>
            <w:r>
              <w:rPr/>
              <w:t xml:space="preserve"/>
            </w:r>
          </w:p>
        </w:tc>
        <w:tc>
          <w:tcPr>
            <w:tcW w:w="2000" w:type="dxa"/>
            <w:gridSpan w:val="1"/>
            <w:noWrap/>
          </w:tcPr>
          <w:p>
            <w:pPr/>
            <w:r>
              <w:rPr/>
              <w:t xml:space="preserve">36,600 Female</w:t>
            </w:r>
          </w:p>
          <w:p>
            <w:pPr/>
            <w:r>
              <w:rPr/>
              <w:t xml:space="preserve">38,400 Male</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Upon the mobilization of the PMU, the baseline data will be re-validated as recommended during the Inception Workshop, which will be the basis of the catch-up plan. Furthermore, the Stakeholder Engagement Plan (SEP)  will be updated while formulating the Indigenous People's Planning Framework (IPPF) to ensure targets are met based on the project document.</w:t>
            </w:r>
          </w:p>
          <w:p>
            <w:pPr/>
            <w:r>
              <w:rPr/>
              <w:t xml:space="preserve"/>
            </w:r>
          </w:p>
          <w:p>
            <w:pPr/>
            <w:r>
              <w:rPr/>
              <w:t xml:space="preserve">As of the reporting period, project activities have not yet commenced, and the expected date of delivery of the activities will be determined by the PMU and included in the catch-up plan.</w:t>
            </w:r>
          </w:p>
          <w:p>
            <w:pPr/>
            <w:r>
              <w:rPr/>
              <w:t xml:space="preserve"/>
            </w:r>
          </w:p>
        </w:tc>
      </w:tr>
      <w:tr>
        <w:trPr/>
        <w:tc>
          <w:tcPr>
            <w:tcW w:w="4000" w:type="dxa"/>
            <w:gridSpan w:val="1"/>
            <w:noWrap/>
          </w:tcPr>
          <w:p>
            <w:pPr/>
            <w:r>
              <w:rPr/>
              <w:t xml:space="preserve">Mandatory Indicator 4: tCO2e emission avoided through direct SLM and BDFA practices and principles implementation, replications and policy interventions. [Estimated Based on 20-Year Period]</w:t>
            </w:r>
          </w:p>
          <w:p>
            <w:pPr/>
            <w:r>
              <w:rPr/>
              <w:t xml:space="preserve">Contributes to GEF core indicator 6 sub-indicator 6.1</w:t>
            </w:r>
          </w:p>
          <w:p>
            <w:pPr/>
            <w:r>
              <w:rPr/>
              <w:t xml:space="preserve"/>
            </w:r>
          </w:p>
        </w:tc>
        <w:tc>
          <w:tcPr>
            <w:tcW w:w="2000" w:type="dxa"/>
            <w:gridSpan w:val="1"/>
            <w:noWrap/>
          </w:tcPr>
          <w:p>
            <w:pPr/>
            <w:r>
              <w:rPr/>
              <w:t xml:space="preserve">0 tCO2e</w:t>
            </w:r>
          </w:p>
        </w:tc>
        <w:tc>
          <w:tcPr>
            <w:tcW w:w="2000" w:type="dxa"/>
            <w:gridSpan w:val="1"/>
            <w:noWrap/>
          </w:tcPr>
          <w:p>
            <w:pPr/>
            <w:r>
              <w:rPr/>
              <w:t xml:space="preserve">1,000,000 tCO2e</w:t>
            </w:r>
          </w:p>
        </w:tc>
        <w:tc>
          <w:tcPr>
            <w:tcW w:w="2000" w:type="dxa"/>
            <w:gridSpan w:val="1"/>
            <w:noWrap/>
          </w:tcPr>
          <w:p>
            <w:pPr/>
            <w:r>
              <w:rPr/>
              <w:t xml:space="preserve">5,016,638 tCO2e</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In light of the implementation delays, a catch-up plan will be developed while concurrently revalidating the assumptions of Annex 24 (ExAct Tool tCO2eq Calculations) submitted during the PPG Phase.</w:t>
            </w:r>
          </w:p>
          <w:p>
            <w:pPr/>
            <w:r>
              <w:rPr/>
              <w:t xml:space="preserve"/>
            </w:r>
          </w:p>
          <w:p>
            <w:pPr/>
            <w:r>
              <w:rPr/>
              <w:t xml:space="preserve">As of the reporting period, project activities have not yet commenced, and the expected date of delivery of the activities will be determined by the PMU and included in the catch-up plan.</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w:trPr/>
        <w:tc>
          <w:tcPr>
            <w:tcW w:w="16000" w:type="dxa"/>
            <w:shd w:val="clear" w:fill="#D9D9D9"/>
            <w:gridSpan w:val="7"/>
            <w:noWrap/>
          </w:tcPr>
          <w:p>
            <w:pPr/>
            <w:r>
              <w:rPr>
                <w:b w:val="1"/>
                <w:bCs w:val="1"/>
              </w:rPr>
              <w:t xml:space="preserve">Outcome 1</w:t>
            </w:r>
          </w:p>
          <w:p>
            <w:pPr/>
            <w:r>
              <w:rPr>
                <w:b w:val="1"/>
                <w:bCs w:val="1"/>
              </w:rPr>
              <w:t xml:space="preserve">Enabling policy environment created for LDN and BDFAP and capacity for integrated landscape management enhanced at sub-national level leading to improved biodiversity and ecosystem services in the Cagayan de Oro River Basin.</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5: Number of policy instruments supporting LDN and BDFA approved, measured by:</w:t>
            </w:r>
          </w:p>
          <w:p>
            <w:pPr/>
            <w:r>
              <w:rPr/>
              <w:t xml:space="preserve">5.1) Number of Joint Administrative Orders (LDN and BDFAP) and</w:t>
            </w:r>
          </w:p>
          <w:p>
            <w:pPr/>
            <w:r>
              <w:rPr/>
              <w:t xml:space="preserve">5.2) Number of CDORB LGUs Comprehensive Land Use Plans (CLUP) amended .</w:t>
            </w:r>
          </w:p>
          <w:p>
            <w:pPr/>
            <w:r>
              <w:rPr/>
              <w:t xml:space="preserve"/>
            </w:r>
          </w:p>
        </w:tc>
        <w:tc>
          <w:tcPr>
            <w:tcW w:w="2000" w:type="dxa"/>
            <w:gridSpan w:val="1"/>
            <w:noWrap/>
          </w:tcPr>
          <w:p>
            <w:pPr/>
            <w:r>
              <w:rPr/>
              <w:t xml:space="preserve">5.1) 4 BDFAP and LDN JAOs:</w:t>
            </w:r>
          </w:p>
          <w:p>
            <w:pPr/>
            <w:r>
              <w:rPr/>
              <w:t xml:space="preserve">•	Approved DA-DENR Administrative Order No.  2021-01: Mainstreaming Biodiversity Friendly Agricultural Practices (BDFAP) in and around Protected Areas and Promoting the Same in Wider Agricultural Landscapes (2021)</w:t>
            </w:r>
          </w:p>
          <w:p>
            <w:pPr/>
            <w:r>
              <w:rPr/>
              <w:t xml:space="preserve">•	Approved PH National Standards (PNS) on BDFAPs Code of Practice (PNS/BAFS 362:2023)</w:t>
            </w:r>
          </w:p>
          <w:p>
            <w:pPr/>
            <w:r>
              <w:rPr/>
              <w:t xml:space="preserve">•	Approved DA-DENR-NCIP Joint MC Joint No. 2023-01: Rules and Regulations Governing the Recognition and Confirmation of Nationally-Important Agricultural Heritage Systems (NIAHS)</w:t>
            </w:r>
          </w:p>
          <w:p>
            <w:pPr/>
            <w:r>
              <w:rPr/>
              <w:t xml:space="preserve">•	Approved DA-DAR-DENR MO No. 02 series of 2022: Institutionalization of Agro-Biodiversity Management within NCI-SRD Framework</w:t>
            </w:r>
          </w:p>
          <w:p>
            <w:pPr/>
            <w:r>
              <w:rPr/>
              <w:t xml:space="preserve"/>
            </w:r>
          </w:p>
          <w:p>
            <w:pPr/>
            <w:r>
              <w:rPr/>
              <w:t xml:space="preserve">5.2) 0 (5 LGU CDORB Comprehensive Land Use Plans (CLUP) not amended.)</w:t>
            </w:r>
          </w:p>
        </w:tc>
        <w:tc>
          <w:tcPr>
            <w:tcW w:w="2000" w:type="dxa"/>
            <w:gridSpan w:val="1"/>
            <w:noWrap/>
          </w:tcPr>
          <w:p>
            <w:pPr/>
            <w:r>
              <w:rPr/>
              <w:t xml:space="preserve">5.1) 0</w:t>
            </w:r>
          </w:p>
          <w:p>
            <w:pPr/>
            <w:r>
              <w:rPr/>
              <w:t xml:space="preserve">(BDFAP JAO developed and under review by agencies and stakeholders and LDN JAO under development.)</w:t>
            </w:r>
          </w:p>
          <w:p>
            <w:pPr/>
            <w:r>
              <w:rPr/>
              <w:t xml:space="preserve">5.2) 0</w:t>
            </w:r>
          </w:p>
          <w:p>
            <w:pPr/>
            <w:r>
              <w:rPr/>
              <w:t xml:space="preserve">(Amendments to 5 LGU CDORB Comprehensive Land Use Plans (CLUP) developed and under review by agencies and stakeholders.)</w:t>
            </w:r>
          </w:p>
          <w:p>
            <w:pPr/>
            <w:r>
              <w:rPr/>
              <w:t xml:space="preserve"/>
            </w:r>
          </w:p>
        </w:tc>
        <w:tc>
          <w:tcPr>
            <w:tcW w:w="2000" w:type="dxa"/>
            <w:gridSpan w:val="1"/>
            <w:noWrap/>
          </w:tcPr>
          <w:p>
            <w:pPr/>
            <w:r>
              <w:rPr/>
              <w:t xml:space="preserve">5.1) 2</w:t>
            </w:r>
          </w:p>
          <w:p>
            <w:pPr/>
            <w:r>
              <w:rPr/>
              <w:t xml:space="preserve">(LDN and BDFAP JAO approved.)</w:t>
            </w:r>
          </w:p>
          <w:p>
            <w:pPr/>
            <w:r>
              <w:rPr/>
              <w:t xml:space="preserve">5.2) 5</w:t>
            </w:r>
          </w:p>
          <w:p>
            <w:pPr/>
            <w:r>
              <w:rPr/>
              <w:t xml:space="preserve">(Amendments to 5 LGU CDORB Comprehensive Land Use Plans (CLUP) approved.)</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Based on the Executing Agency’s consultation with the local government, LGU Baungon and Iligan are updating their respective CLUPs, while the CLUP of LGU Cagayan de Oro is under review. LGU Talakag and Libona, on the other hand, have recently approved their CLUPs. However, it should be noted that SLM and BDFA were not incorporated into the aforementioned LGUs' Forest Land Use Plan (FLUP), a section in the CLUP.</w:t>
            </w:r>
          </w:p>
          <w:p>
            <w:pPr/>
            <w:r>
              <w:rPr/>
              <w:t xml:space="preserve"/>
            </w:r>
          </w:p>
          <w:p>
            <w:pPr/>
            <w:r>
              <w:rPr/>
              <w:t xml:space="preserve">As recommended during the inception workshop, the multi-year workplan will be further deliberated with the Project Board due to proposals to merge, remove, or add activities (refer to minor amendments section).</w:t>
            </w:r>
          </w:p>
          <w:p>
            <w:pPr/>
            <w:r>
              <w:rPr/>
              <w:t xml:space="preserve"/>
            </w:r>
          </w:p>
          <w:p>
            <w:pPr/>
            <w:r>
              <w:rPr/>
              <w:t xml:space="preserve">As of the reporting period, project activities have not yet commenced, and the expected date of delivery of the activities will be determined by the PMU and included in the catch-up plan.</w:t>
            </w:r>
          </w:p>
        </w:tc>
      </w:tr>
      <w:tr>
        <w:trPr/>
        <w:tc>
          <w:tcPr>
            <w:tcW w:w="4000" w:type="dxa"/>
            <w:gridSpan w:val="1"/>
            <w:noWrap/>
          </w:tcPr>
          <w:p>
            <w:pPr/>
            <w:r>
              <w:rPr/>
              <w:t xml:space="preserve">Indicator 6: UNDP capacity development scorecard scores of national and sub-national level entities involved in basin management (i.e. DA National, DA Region, DENR National, DENR Region, NCIP, Provincial Government t of Bukidnon, Municipality of   Talakag, Municipality of Libona, Municipality of Baungon, Cagayan de Oro City and Iligan City)</w:t>
            </w:r>
          </w:p>
        </w:tc>
        <w:tc>
          <w:tcPr>
            <w:tcW w:w="2000" w:type="dxa"/>
            <w:gridSpan w:val="1"/>
            <w:noWrap/>
          </w:tcPr>
          <w:p>
            <w:pPr/>
            <w:r>
              <w:rPr/>
              <w:t xml:space="preserve">DA National (S=31)</w:t>
            </w:r>
          </w:p>
          <w:p>
            <w:pPr/>
            <w:r>
              <w:rPr/>
              <w:t xml:space="preserve">DA Region (S=41)</w:t>
            </w:r>
          </w:p>
          <w:p>
            <w:pPr/>
            <w:r>
              <w:rPr/>
              <w:t xml:space="preserve">DENR National (S=36)</w:t>
            </w:r>
          </w:p>
          <w:p>
            <w:pPr/>
            <w:r>
              <w:rPr/>
              <w:t xml:space="preserve">DENR Region (S=33)</w:t>
            </w:r>
          </w:p>
          <w:p>
            <w:pPr/>
            <w:r>
              <w:rPr/>
              <w:t xml:space="preserve">NCIP (S=30)</w:t>
            </w:r>
          </w:p>
          <w:p>
            <w:pPr/>
            <w:r>
              <w:rPr/>
              <w:t xml:space="preserve">CDORBMC (S=30)</w:t>
            </w:r>
          </w:p>
          <w:p>
            <w:pPr/>
            <w:r>
              <w:rPr/>
              <w:t xml:space="preserve">Prov Govt of     Bukidnon (S=23)</w:t>
            </w:r>
          </w:p>
          <w:p>
            <w:pPr/>
            <w:r>
              <w:rPr/>
              <w:t xml:space="preserve">Municipality of    Talakag (S=23)</w:t>
            </w:r>
          </w:p>
          <w:p>
            <w:pPr/>
            <w:r>
              <w:rPr/>
              <w:t xml:space="preserve">Municipality of     Libona (S=25)</w:t>
            </w:r>
          </w:p>
          <w:p>
            <w:pPr/>
            <w:r>
              <w:rPr/>
              <w:t xml:space="preserve">Municipality of Baungon (S=16)</w:t>
            </w:r>
          </w:p>
          <w:p>
            <w:pPr/>
            <w:r>
              <w:rPr/>
              <w:t xml:space="preserve">Cagayan de Oro City (S=35)</w:t>
            </w:r>
          </w:p>
          <w:p>
            <w:pPr/>
            <w:r>
              <w:rPr/>
              <w:t xml:space="preserve">Iligan City (S=24)</w:t>
            </w:r>
          </w:p>
          <w:p>
            <w:pPr/>
            <w:r>
              <w:rPr/>
              <w:t xml:space="preserve"/>
            </w:r>
          </w:p>
        </w:tc>
        <w:tc>
          <w:tcPr>
            <w:tcW w:w="2000" w:type="dxa"/>
            <w:gridSpan w:val="1"/>
            <w:noWrap/>
          </w:tcPr>
          <w:p>
            <w:pPr/>
            <w:r>
              <w:rPr/>
              <w:t xml:space="preserve">DA National (S=34)</w:t>
            </w:r>
          </w:p>
          <w:p>
            <w:pPr/>
            <w:r>
              <w:rPr/>
              <w:t xml:space="preserve">DA Region (S=45)</w:t>
            </w:r>
          </w:p>
          <w:p>
            <w:pPr/>
            <w:r>
              <w:rPr/>
              <w:t xml:space="preserve">DENR National (S=39)</w:t>
            </w:r>
          </w:p>
          <w:p>
            <w:pPr/>
            <w:r>
              <w:rPr/>
              <w:t xml:space="preserve">DENR Region (S=36)</w:t>
            </w:r>
          </w:p>
          <w:p>
            <w:pPr/>
            <w:r>
              <w:rPr/>
              <w:t xml:space="preserve">NCIP (S=33)</w:t>
            </w:r>
          </w:p>
          <w:p>
            <w:pPr/>
            <w:r>
              <w:rPr/>
              <w:t xml:space="preserve">CDORBMC (S=33)</w:t>
            </w:r>
          </w:p>
          <w:p>
            <w:pPr/>
            <w:r>
              <w:rPr/>
              <w:t xml:space="preserve">Prov Govt of     Bukidnon (S=25)</w:t>
            </w:r>
          </w:p>
          <w:p>
            <w:pPr/>
            <w:r>
              <w:rPr/>
              <w:t xml:space="preserve">Municipality of    Talakag (S=25)</w:t>
            </w:r>
          </w:p>
          <w:p>
            <w:pPr/>
            <w:r>
              <w:rPr/>
              <w:t xml:space="preserve">Municipality of     Libona (S=27)</w:t>
            </w:r>
          </w:p>
          <w:p>
            <w:pPr/>
            <w:r>
              <w:rPr/>
              <w:t xml:space="preserve">Municipality of Baungon (S=18)</w:t>
            </w:r>
          </w:p>
          <w:p>
            <w:pPr/>
            <w:r>
              <w:rPr/>
              <w:t xml:space="preserve">Cagayan de Oro City (S=38)</w:t>
            </w:r>
          </w:p>
          <w:p>
            <w:pPr/>
            <w:r>
              <w:rPr/>
              <w:t xml:space="preserve">Iligan City (S=26)</w:t>
            </w:r>
          </w:p>
          <w:p>
            <w:pPr/>
            <w:r>
              <w:rPr/>
              <w:t xml:space="preserve"/>
            </w:r>
          </w:p>
        </w:tc>
        <w:tc>
          <w:tcPr>
            <w:tcW w:w="2000" w:type="dxa"/>
            <w:gridSpan w:val="1"/>
            <w:noWrap/>
          </w:tcPr>
          <w:p>
            <w:pPr/>
            <w:r>
              <w:rPr/>
              <w:t xml:space="preserve">DA National (S=38)</w:t>
            </w:r>
          </w:p>
          <w:p>
            <w:pPr/>
            <w:r>
              <w:rPr/>
              <w:t xml:space="preserve">DA Region (S=49)</w:t>
            </w:r>
          </w:p>
          <w:p>
            <w:pPr/>
            <w:r>
              <w:rPr/>
              <w:t xml:space="preserve">DENR National (S=44)</w:t>
            </w:r>
          </w:p>
          <w:p>
            <w:pPr/>
            <w:r>
              <w:rPr/>
              <w:t xml:space="preserve">DENR Region (S=40)</w:t>
            </w:r>
          </w:p>
          <w:p>
            <w:pPr/>
            <w:r>
              <w:rPr/>
              <w:t xml:space="preserve">NCIP (S=36)</w:t>
            </w:r>
          </w:p>
          <w:p>
            <w:pPr/>
            <w:r>
              <w:rPr/>
              <w:t xml:space="preserve">CDORBMC (S=36)</w:t>
            </w:r>
          </w:p>
          <w:p>
            <w:pPr/>
            <w:r>
              <w:rPr/>
              <w:t xml:space="preserve">Prov Govt of     Bukidnon (S=28)</w:t>
            </w:r>
          </w:p>
          <w:p>
            <w:pPr/>
            <w:r>
              <w:rPr/>
              <w:t xml:space="preserve">Municipality of    Talakag (S=28)</w:t>
            </w:r>
          </w:p>
          <w:p>
            <w:pPr/>
            <w:r>
              <w:rPr/>
              <w:t xml:space="preserve">Municipality of     Libona (S=30)</w:t>
            </w:r>
          </w:p>
          <w:p>
            <w:pPr/>
            <w:r>
              <w:rPr/>
              <w:t xml:space="preserve">Municipality of Baungon (S=20)</w:t>
            </w:r>
          </w:p>
          <w:p>
            <w:pPr/>
            <w:r>
              <w:rPr/>
              <w:t xml:space="preserve">Cagayan de Oro City (S=42)</w:t>
            </w:r>
          </w:p>
          <w:p>
            <w:pPr/>
            <w:r>
              <w:rPr/>
              <w:t xml:space="preserve">Iligan City (S=29)</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As recommended during the inception workshop, the activities for this indicator (i.e,</w:t>
            </w:r>
          </w:p>
          <w:p>
            <w:pPr/>
            <w:r>
              <w:rPr/>
              <w:t xml:space="preserve">will be further discussed and deliberated with the Project Board due to proposals to modify some of the project activities</w:t>
            </w:r>
          </w:p>
          <w:p>
            <w:pPr/>
            <w:r>
              <w:rPr/>
              <w:t xml:space="preserve"/>
            </w:r>
          </w:p>
          <w:p>
            <w:pPr/>
            <w:r>
              <w:rPr/>
              <w:t xml:space="preserve">In anticipation of the PMU's engagement, BSWM organized a focus group discussion (FGD) in June 2025 with the local governments of Cagayan de Oro City, Libona, Talakag, Baungon in Bukidnon. The catch-up plan will be developed accordingly.</w:t>
            </w:r>
          </w:p>
          <w:p>
            <w:pPr/>
            <w:r>
              <w:rPr/>
              <w:t xml:space="preserve"/>
            </w:r>
          </w:p>
          <w:p>
            <w:pPr/>
            <w:r>
              <w:rPr/>
              <w:t xml:space="preserve">As of the reporting period, project activities have not yet commenced, and the expected date of delivery of the activities will be determined by the PMU and included in the catch-up plan.</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w:trPr/>
        <w:tc>
          <w:tcPr>
            <w:tcW w:w="16000" w:type="dxa"/>
            <w:shd w:val="clear" w:fill="#D9D9D9"/>
            <w:gridSpan w:val="7"/>
            <w:noWrap/>
          </w:tcPr>
          <w:p>
            <w:pPr/>
            <w:r>
              <w:rPr>
                <w:b w:val="1"/>
                <w:bCs w:val="1"/>
              </w:rPr>
              <w:t xml:space="preserve">Outcome 2</w:t>
            </w:r>
          </w:p>
          <w:p>
            <w:pPr/>
            <w:r>
              <w:rPr>
                <w:b w:val="1"/>
                <w:bCs w:val="1"/>
              </w:rPr>
              <w:t xml:space="preserve">Improved management of 58,000 ha of cultivated landscapes ensured by small holder farmers, IP communities and multi-national companies through adoption of sustainable land management and biodiversity friendly agriculture practices.</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7: Percent increase in capacity survey scores of the IP communities’ ability to actively engage in integrated landscape management .</w:t>
            </w:r>
          </w:p>
        </w:tc>
        <w:tc>
          <w:tcPr>
            <w:tcW w:w="2000" w:type="dxa"/>
            <w:gridSpan w:val="1"/>
            <w:noWrap/>
          </w:tcPr>
          <w:p>
            <w:pPr/>
            <w:r>
              <w:rPr/>
              <w:t xml:space="preserve">Talaandigs (Score (S) TBD in Year 1)</w:t>
            </w:r>
          </w:p>
          <w:p>
            <w:pPr/>
            <w:r>
              <w:rPr/>
              <w:t xml:space="preserve">Higaonons (Score (S) TBD in Year 1)</w:t>
            </w:r>
          </w:p>
          <w:p>
            <w:pPr/>
            <w:r>
              <w:rPr/>
              <w:t xml:space="preserve"/>
            </w:r>
          </w:p>
        </w:tc>
        <w:tc>
          <w:tcPr>
            <w:tcW w:w="2000" w:type="dxa"/>
            <w:gridSpan w:val="1"/>
            <w:noWrap/>
          </w:tcPr>
          <w:p>
            <w:pPr/>
            <w:r>
              <w:rPr/>
              <w:t xml:space="preserve">Talaandigs 10%</w:t>
            </w:r>
          </w:p>
          <w:p>
            <w:pPr/>
            <w:r>
              <w:rPr/>
              <w:t xml:space="preserve">Higaonons 10%</w:t>
            </w:r>
          </w:p>
          <w:p>
            <w:pPr/>
            <w:r>
              <w:rPr/>
              <w:t xml:space="preserve"/>
            </w:r>
          </w:p>
        </w:tc>
        <w:tc>
          <w:tcPr>
            <w:tcW w:w="2000" w:type="dxa"/>
            <w:gridSpan w:val="1"/>
            <w:noWrap/>
          </w:tcPr>
          <w:p>
            <w:pPr/>
            <w:r>
              <w:rPr/>
              <w:t xml:space="preserve">Talaandigs 20%</w:t>
            </w:r>
          </w:p>
          <w:p>
            <w:pPr/>
            <w:r>
              <w:rPr/>
              <w:t xml:space="preserve">Higaonons 20%</w:t>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Although the target is off-track, the Executing Agency consulted the NCIP field offices on the requirements for FPIC processing and list of Indigenous Peoples with Certificate of Ancestral Domain Title (CADT) and/or Ancestral Domain Development Sustainable Protection Plan (ADDSPP) as part of the preparatory activities for site selection.</w:t>
            </w:r>
          </w:p>
          <w:p>
            <w:pPr/>
            <w:r>
              <w:rPr/>
              <w:t xml:space="preserve"/>
            </w:r>
          </w:p>
          <w:p>
            <w:pPr/>
            <w:r>
              <w:rPr/>
              <w:t xml:space="preserve">Once the PMU is onboard, the catch-up plan will be developed while concurrently updating the SEP and the IPPF.</w:t>
            </w:r>
          </w:p>
          <w:p>
            <w:pPr/>
            <w:r>
              <w:rPr/>
              <w:t xml:space="preserve"/>
            </w:r>
          </w:p>
          <w:p>
            <w:pPr/>
            <w:r>
              <w:rPr/>
              <w:t xml:space="preserve">As of the reporting period, project activities have not yet commenced, and the expected date of delivery of the activities will be determined by the PMU and included in the catch-up plan.</w:t>
            </w:r>
          </w:p>
        </w:tc>
      </w:tr>
      <w:tr>
        <w:trPr/>
        <w:tc>
          <w:tcPr>
            <w:tcW w:w="4000" w:type="dxa"/>
            <w:gridSpan w:val="1"/>
            <w:noWrap/>
          </w:tcPr>
          <w:p>
            <w:pPr/>
            <w:r>
              <w:rPr/>
              <w:t xml:space="preserve">Indicator 8: Number of households , involved in improved cropland management using BDFA and SLM practices, with a minimum of 10% increase in household’s income.</w:t>
            </w:r>
          </w:p>
        </w:tc>
        <w:tc>
          <w:tcPr>
            <w:tcW w:w="2000" w:type="dxa"/>
            <w:gridSpan w:val="1"/>
            <w:noWrap/>
          </w:tcPr>
          <w:p>
            <w:pPr/>
            <w:r>
              <w:rPr/>
              <w:t xml:space="preserve">0</w:t>
            </w:r>
          </w:p>
        </w:tc>
        <w:tc>
          <w:tcPr>
            <w:tcW w:w="2000" w:type="dxa"/>
            <w:gridSpan w:val="1"/>
            <w:noWrap/>
          </w:tcPr>
          <w:p>
            <w:pPr/>
            <w:r>
              <w:rPr/>
              <w:t xml:space="preserve">500</w:t>
            </w:r>
          </w:p>
        </w:tc>
        <w:tc>
          <w:tcPr>
            <w:tcW w:w="2000" w:type="dxa"/>
            <w:gridSpan w:val="1"/>
            <w:noWrap/>
          </w:tcPr>
          <w:p>
            <w:pPr/>
            <w:r>
              <w:rPr/>
              <w:t xml:space="preserve">2500</w:t>
            </w:r>
          </w:p>
        </w:tc>
        <w:tc>
          <w:tcPr>
            <w:tcW w:w="4000" w:type="dxa"/>
            <w:gridSpan w:val="1"/>
            <w:noWrap/>
          </w:tcPr>
          <w:p>
            <w:pPr/>
            <w:r>
              <w:rPr>
                <w:i w:val="1"/>
                <w:iCs w:val="1"/>
              </w:rPr>
              <w:t xml:space="preserve">(not set or not applicable)</w:t>
            </w:r>
          </w:p>
        </w:tc>
        <w:tc>
          <w:tcPr>
            <w:tcW w:w="4000" w:type="dxa"/>
            <w:gridSpan w:val="1"/>
            <w:noWrap/>
          </w:tcPr>
          <w:p>
            <w:pPr/>
            <w:r>
              <w:rPr/>
              <w:t xml:space="preserve">While the target is still considered off-track, the Executing Agency conducted consultative meetings with the LGU and Field Offices of DENR, DA, and NCIP  to collate data on the list of households potentially benefitting under this project.</w:t>
            </w:r>
          </w:p>
          <w:p>
            <w:pPr/>
            <w:r>
              <w:rPr/>
              <w:t xml:space="preserve"/>
            </w:r>
          </w:p>
          <w:p>
            <w:pPr/>
            <w:r>
              <w:rPr/>
              <w:t xml:space="preserve">Upon the engagement of the PMU, a catch-up plan will be developed while the SEP will be updated to ensure targets are met within the project lifetime.</w:t>
            </w:r>
          </w:p>
          <w:p>
            <w:pPr/>
            <w:r>
              <w:rPr/>
              <w:t xml:space="preserve"/>
            </w:r>
          </w:p>
          <w:p>
            <w:pPr/>
            <w:r>
              <w:rPr/>
              <w:t xml:space="preserve">As of the reporting period, project activities have not yet commenced, and the expected date of delivery of the activities will be determined by the PMU and included in the catch-up plan.</w:t>
            </w:r>
          </w:p>
          <w:p>
            <w:pPr/>
            <w:r>
              <w:rPr/>
              <w:t xml:space="preserve"/>
            </w:r>
          </w:p>
        </w:tc>
      </w:tr>
      <w:tr>
        <w:trPr/>
        <w:tc>
          <w:tcPr>
            <w:tcW w:w="4000" w:type="dxa"/>
            <w:gridSpan w:val="1"/>
            <w:noWrap/>
          </w:tcPr>
          <w:p>
            <w:pPr/>
            <w:r>
              <w:rPr/>
              <w:t xml:space="preserve">Indicator 9: Extent to which CDORB framework for PES is developed and used by LGUs and other stakeholders to develop individual mechanisms, following the framework guidance and strategic approach.</w:t>
            </w:r>
          </w:p>
        </w:tc>
        <w:tc>
          <w:tcPr>
            <w:tcW w:w="2000" w:type="dxa"/>
            <w:gridSpan w:val="1"/>
            <w:noWrap/>
          </w:tcPr>
          <w:p>
            <w:pPr/>
            <w:r>
              <w:rPr/>
              <w:t xml:space="preserve">There is an existing LGU PES Ordinance and Implementing Rules and Regulations in Cagayan de Oro City, which is one of the LGUs within the CDORB.</w:t>
            </w:r>
          </w:p>
        </w:tc>
        <w:tc>
          <w:tcPr>
            <w:tcW w:w="2000" w:type="dxa"/>
            <w:gridSpan w:val="1"/>
            <w:noWrap/>
          </w:tcPr>
          <w:p>
            <w:pPr/>
            <w:r>
              <w:rPr/>
              <w:t xml:space="preserve">A PES framework is developed under the auspices of the CDORBMC ready for use by CDORB LGUs and other interested stakeholders</w:t>
            </w:r>
          </w:p>
        </w:tc>
        <w:tc>
          <w:tcPr>
            <w:tcW w:w="2000" w:type="dxa"/>
            <w:gridSpan w:val="1"/>
            <w:noWrap/>
          </w:tcPr>
          <w:p>
            <w:pPr/>
            <w:r>
              <w:rPr/>
              <w:t xml:space="preserve">At least two PES mechanisms developed by CDORB LGUs and other interested stakeholders are ready and call for proposals are made.</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Due to the delayed engagement of the PMU, the Executing Agency currently has limited capacity to take on additional responsibilities for the other project activities.</w:t>
            </w:r>
          </w:p>
          <w:p>
            <w:pPr/>
            <w:r>
              <w:rPr/>
              <w:t xml:space="preserve"/>
            </w:r>
          </w:p>
          <w:p>
            <w:pPr/>
            <w:r>
              <w:rPr/>
              <w:t xml:space="preserve">To address this, a catch-up plan will be developed. Additionally, consultative meetings will be conducted with the concerned LGUs to identify strategic entry points for the development of the PES mechanism in the CDORB LGUs.</w:t>
            </w:r>
          </w:p>
          <w:p>
            <w:pPr/>
            <w:r>
              <w:rPr/>
              <w:t xml:space="preserve"/>
            </w:r>
          </w:p>
          <w:p>
            <w:pPr/>
            <w:r>
              <w:rPr/>
              <w:t xml:space="preserve">As of the reporting period, project activities have not yet commenced, and the expected date of delivery will be determined by the PMU and included in the catch-up plan.</w:t>
            </w:r>
          </w:p>
          <w:p>
            <w:pPr/>
            <w:r>
              <w:rPr/>
              <w:t xml:space="preserve"/>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r>
        <w:trPr/>
        <w:tc>
          <w:tcPr>
            <w:tcW w:w="16000" w:type="dxa"/>
            <w:shd w:val="clear" w:fill="#D9D9D9"/>
            <w:gridSpan w:val="7"/>
            <w:noWrap/>
          </w:tcPr>
          <w:p>
            <w:pPr/>
            <w:r>
              <w:rPr>
                <w:b w:val="1"/>
                <w:bCs w:val="1"/>
              </w:rPr>
              <w:t xml:space="preserve">Outcome 3</w:t>
            </w:r>
          </w:p>
          <w:p>
            <w:pPr/>
            <w:r>
              <w:rPr>
                <w:b w:val="1"/>
                <w:bCs w:val="1"/>
              </w:rPr>
              <w:t xml:space="preserve">Capacity and awareness of stakeholders raised on LDN, SLM and BDFA practices and integrated landscape management approaches by effective gender sensitive knowledge management and project M&amp;E ensured</w:t>
            </w:r>
          </w:p>
        </w:tc>
      </w:tr>
      <w:tr>
        <w:trPr/>
        <w:tc>
          <w:tcPr>
            <w:tcW w:w="4000" w:type="dxa"/>
            <w:gridSpan w:val="1"/>
            <w:noWrap/>
          </w:tcPr>
          <w:p>
            <w:pPr/>
            <w:r>
              <w:rPr>
                <w:b w:val="1"/>
                <w:bCs w:val="1"/>
              </w:rPr>
              <w:t xml:space="preserve">Description of Indicator</w:t>
            </w:r>
          </w:p>
        </w:tc>
        <w:tc>
          <w:tcPr>
            <w:tcW w:w="2000" w:type="dxa"/>
            <w:gridSpan w:val="1"/>
            <w:noWrap/>
          </w:tcPr>
          <w:p>
            <w:pPr/>
            <w:r>
              <w:rPr>
                <w:b w:val="1"/>
                <w:bCs w:val="1"/>
              </w:rPr>
              <w:t xml:space="preserve">Baseline Level</w:t>
            </w:r>
          </w:p>
        </w:tc>
        <w:tc>
          <w:tcPr>
            <w:tcW w:w="2000" w:type="dxa"/>
            <w:gridSpan w:val="1"/>
            <w:noWrap/>
          </w:tcPr>
          <w:p>
            <w:pPr/>
            <w:r>
              <w:rPr>
                <w:b w:val="1"/>
                <w:bCs w:val="1"/>
              </w:rPr>
              <w:t xml:space="preserve">Midterm target level</w:t>
            </w:r>
          </w:p>
        </w:tc>
        <w:tc>
          <w:tcPr>
            <w:tcW w:w="2000" w:type="dxa"/>
            <w:gridSpan w:val="1"/>
            <w:noWrap/>
          </w:tcPr>
          <w:p>
            <w:pPr/>
            <w:r>
              <w:rPr>
                <w:b w:val="1"/>
                <w:bCs w:val="1"/>
              </w:rPr>
              <w:t xml:space="preserve">End of project target level</w:t>
            </w:r>
          </w:p>
        </w:tc>
        <w:tc>
          <w:tcPr>
            <w:tcW w:w="4000" w:type="dxa"/>
            <w:gridSpan w:val="1"/>
            <w:noWrap/>
          </w:tcPr>
          <w:p>
            <w:pPr/>
            <w:r>
              <w:rPr>
                <w:b w:val="1"/>
                <w:bCs w:val="1"/>
              </w:rPr>
              <w:t xml:space="preserve">Level at Jun 30, 2024</w:t>
            </w:r>
          </w:p>
        </w:tc>
        <w:tc>
          <w:tcPr>
            <w:tcW w:w="4000" w:type="dxa"/>
            <w:gridSpan w:val="1"/>
            <w:noWrap/>
          </w:tcPr>
          <w:p>
            <w:pPr/>
            <w:r>
              <w:rPr>
                <w:b w:val="1"/>
                <w:bCs w:val="1"/>
              </w:rPr>
              <w:t xml:space="preserve">Cumulative progress since project start as of Jun 30, 2025</w:t>
            </w:r>
          </w:p>
        </w:tc>
      </w:tr>
      <w:tr>
        <w:trPr/>
        <w:tc>
          <w:tcPr>
            <w:tcW w:w="4000" w:type="dxa"/>
            <w:gridSpan w:val="1"/>
            <w:noWrap/>
          </w:tcPr>
          <w:p>
            <w:pPr/>
            <w:r>
              <w:rPr/>
              <w:t xml:space="preserve">Indicator 10: Percent increase in awareness, knowledge, and capacity of project stakeholders [measured through changes in Knowledge, Attitudes and Practices (KAP) survey scores]</w:t>
            </w:r>
          </w:p>
        </w:tc>
        <w:tc>
          <w:tcPr>
            <w:tcW w:w="2000" w:type="dxa"/>
            <w:gridSpan w:val="1"/>
            <w:noWrap/>
          </w:tcPr>
          <w:p>
            <w:pPr/>
            <w:r>
              <w:rPr/>
              <w:t xml:space="preserve">a) National, Regional and Provincial state actors (Score (S) TBD in Year 1)</w:t>
            </w:r>
          </w:p>
          <w:p>
            <w:pPr/>
            <w:r>
              <w:rPr/>
              <w:t xml:space="preserve">b) Municipal Local Government Units (LGU) and participating Barangays (S=TBD)</w:t>
            </w:r>
          </w:p>
          <w:p>
            <w:pPr/>
            <w:r>
              <w:rPr/>
              <w:t xml:space="preserve">c) Academe, Research, and Science Institutions in CDORB (S=TBD)</w:t>
            </w:r>
          </w:p>
          <w:p>
            <w:pPr/>
            <w:r>
              <w:rPr/>
              <w:t xml:space="preserve">d) Multinational companies, large agri-businesses etc. (S=TBD)</w:t>
            </w:r>
          </w:p>
          <w:p>
            <w:pPr/>
            <w:r>
              <w:rPr/>
              <w:t xml:space="preserve">e) Indigenous peoples and other community groups (S=TBD)</w:t>
            </w:r>
          </w:p>
          <w:p>
            <w:pPr/>
            <w:r>
              <w:rPr/>
              <w:t xml:space="preserve">f) Women and youth (S=TBD)</w:t>
            </w:r>
          </w:p>
          <w:p>
            <w:pPr/>
            <w:r>
              <w:rPr/>
              <w:t xml:space="preserve">g) NGO, CSO, Farmers’ Groups, Cooperatives (S=TBD)</w:t>
            </w:r>
          </w:p>
          <w:p>
            <w:pPr/>
            <w:r>
              <w:rPr/>
              <w:t xml:space="preserve">h) Development Partners (S=TBD)</w:t>
            </w:r>
          </w:p>
          <w:p>
            <w:pPr/>
            <w:r>
              <w:rPr/>
              <w:t xml:space="preserve"/>
            </w:r>
          </w:p>
        </w:tc>
        <w:tc>
          <w:tcPr>
            <w:tcW w:w="2000" w:type="dxa"/>
            <w:gridSpan w:val="1"/>
            <w:noWrap/>
          </w:tcPr>
          <w:p>
            <w:pPr/>
            <w:r>
              <w:rPr/>
              <w:t xml:space="preserve">No mid-term target</w:t>
            </w:r>
          </w:p>
        </w:tc>
        <w:tc>
          <w:tcPr>
            <w:tcW w:w="2000" w:type="dxa"/>
            <w:gridSpan w:val="1"/>
            <w:noWrap/>
          </w:tcPr>
          <w:p>
            <w:pPr/>
            <w:r>
              <w:rPr/>
              <w:t xml:space="preserve">a) National, Regional and Provincial state actors 20%</w:t>
            </w:r>
          </w:p>
          <w:p>
            <w:pPr/>
            <w:r>
              <w:rPr/>
              <w:t xml:space="preserve">b) Municipal Local Government Units (LGU) and participating Barangays 20%</w:t>
            </w:r>
          </w:p>
          <w:p>
            <w:pPr/>
            <w:r>
              <w:rPr/>
              <w:t xml:space="preserve">c) Academe, Research, and Science Institutions in CDORB 20%</w:t>
            </w:r>
          </w:p>
          <w:p>
            <w:pPr/>
            <w:r>
              <w:rPr/>
              <w:t xml:space="preserve">d) Multinational companies, large agri-businesses etc. 20%</w:t>
            </w:r>
          </w:p>
          <w:p>
            <w:pPr/>
            <w:r>
              <w:rPr/>
              <w:t xml:space="preserve">e) Indigenous peoples and other community groups 20%</w:t>
            </w:r>
          </w:p>
          <w:p>
            <w:pPr/>
            <w:r>
              <w:rPr/>
              <w:t xml:space="preserve">f) Women and youth 20%</w:t>
            </w:r>
          </w:p>
          <w:p>
            <w:pPr/>
            <w:r>
              <w:rPr/>
              <w:t xml:space="preserve">g) NGO, CSO, Farmers’ Groups, Cooperatives 20%</w:t>
            </w:r>
          </w:p>
          <w:p>
            <w:pPr/>
            <w:r>
              <w:rPr/>
              <w:t xml:space="preserve">h) Development Partners 20%</w:t>
            </w:r>
          </w:p>
          <w:p>
            <w:pPr/>
            <w:r>
              <w:rPr/>
              <w:t xml:space="preserve"/>
            </w:r>
          </w:p>
          <w:p>
            <w:pPr/>
            <w:r>
              <w:rPr/>
              <w:t xml:space="preserve"/>
            </w:r>
          </w:p>
          <w:p>
            <w:pPr/>
            <w:r>
              <w:rPr/>
              <w:t xml:space="preserve"/>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Due to the delayed engagement of the PMU, the Executing Agency currently has limited capacity to take on additional responsibilities for the other project activities.</w:t>
            </w:r>
          </w:p>
          <w:p>
            <w:pPr/>
            <w:r>
              <w:rPr/>
              <w:t xml:space="preserve"/>
            </w:r>
          </w:p>
          <w:p>
            <w:pPr/>
            <w:r>
              <w:rPr/>
              <w:t xml:space="preserve">To address this, a catch-up plan will be developed. As of the reporting period, project activities have not yet commenced, and the expected date of delivery will be determined by the PMU and included in the catch-up plan.</w:t>
            </w:r>
          </w:p>
          <w:p>
            <w:pPr/>
            <w:r>
              <w:rPr/>
              <w:t xml:space="preserve"/>
            </w:r>
          </w:p>
          <w:p>
            <w:pPr/>
            <w:r>
              <w:rPr/>
              <w:t xml:space="preserve">As of the reporting period, project activities have not yet commenced, and the expected date of delivery of the activities will be determined by the PMU and included in the catch-up plan.</w:t>
            </w:r>
          </w:p>
          <w:p>
            <w:pPr/>
            <w:r>
              <w:rPr/>
              <w:t xml:space="preserve"/>
            </w:r>
          </w:p>
        </w:tc>
      </w:tr>
      <w:tr>
        <w:trPr/>
        <w:tc>
          <w:tcPr>
            <w:tcW w:w="4000" w:type="dxa"/>
            <w:gridSpan w:val="1"/>
            <w:noWrap/>
          </w:tcPr>
          <w:p>
            <w:pPr/>
            <w:r>
              <w:rPr/>
              <w:t xml:space="preserve">Indicator 11: Number of annual platform visits to the online knowledge exchange portal.</w:t>
            </w:r>
          </w:p>
        </w:tc>
        <w:tc>
          <w:tcPr>
            <w:tcW w:w="2000" w:type="dxa"/>
            <w:gridSpan w:val="1"/>
            <w:noWrap/>
          </w:tcPr>
          <w:p>
            <w:pPr/>
            <w:r>
              <w:rPr/>
              <w:t xml:space="preserve">0</w:t>
            </w:r>
          </w:p>
        </w:tc>
        <w:tc>
          <w:tcPr>
            <w:tcW w:w="2000" w:type="dxa"/>
            <w:gridSpan w:val="1"/>
            <w:noWrap/>
          </w:tcPr>
          <w:p>
            <w:pPr/>
            <w:r>
              <w:rPr/>
              <w:t xml:space="preserve">500</w:t>
            </w:r>
          </w:p>
        </w:tc>
        <w:tc>
          <w:tcPr>
            <w:tcW w:w="2000" w:type="dxa"/>
            <w:gridSpan w:val="1"/>
            <w:noWrap/>
          </w:tcPr>
          <w:p>
            <w:pPr/>
            <w:r>
              <w:rPr/>
              <w:t xml:space="preserve">1000</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Activities related to this indicator have not yet commenced, as they are contingent upon the procurement of a firm/NGO to develop and manage the online knowledge exchange portal.</w:t>
            </w:r>
          </w:p>
          <w:p>
            <w:pPr/>
            <w:r>
              <w:rPr/>
              <w:t xml:space="preserve"/>
            </w:r>
          </w:p>
          <w:p>
            <w:pPr/>
            <w:r>
              <w:rPr/>
              <w:t xml:space="preserve">To address this delay, a catch-up plan will be developed. Moreover, the PMU will be tasked with prioritizing the finalization of the TOR for the firm or NGO to be engaged for this component of the project.</w:t>
            </w:r>
          </w:p>
          <w:p>
            <w:pPr/>
            <w:r>
              <w:rPr/>
              <w:t xml:space="preserve"/>
            </w:r>
          </w:p>
          <w:p>
            <w:pPr/>
            <w:r>
              <w:rPr/>
              <w:t xml:space="preserve">As of the reporting period, project activities have not yet commenced, and the expected date of delivery of the activities will be determined by the PMU and included in the catch-up plan.</w:t>
            </w:r>
          </w:p>
          <w:p>
            <w:pPr/>
            <w:r>
              <w:rPr/>
              <w:t xml:space="preserve"/>
            </w:r>
          </w:p>
        </w:tc>
      </w:tr>
      <w:tr>
        <w:trPr/>
        <w:tc>
          <w:tcPr>
            <w:tcW w:w="4000" w:type="dxa"/>
            <w:gridSpan w:val="1"/>
            <w:noWrap/>
          </w:tcPr>
          <w:p>
            <w:pPr/>
            <w:r>
              <w:rPr/>
              <w:t xml:space="preserve">Indicator 12: Number of persons reached through the project’s learning and communication events in CDORB and the five priority river basins.</w:t>
            </w:r>
          </w:p>
        </w:tc>
        <w:tc>
          <w:tcPr>
            <w:tcW w:w="2000" w:type="dxa"/>
            <w:gridSpan w:val="1"/>
            <w:noWrap/>
          </w:tcPr>
          <w:p>
            <w:pPr/>
            <w:r>
              <w:rPr/>
              <w:t xml:space="preserve">0</w:t>
            </w:r>
          </w:p>
        </w:tc>
        <w:tc>
          <w:tcPr>
            <w:tcW w:w="2000" w:type="dxa"/>
            <w:gridSpan w:val="1"/>
            <w:noWrap/>
          </w:tcPr>
          <w:p>
            <w:pPr/>
            <w:r>
              <w:rPr/>
              <w:t xml:space="preserve">52,000</w:t>
            </w:r>
          </w:p>
        </w:tc>
        <w:tc>
          <w:tcPr>
            <w:tcW w:w="2000" w:type="dxa"/>
            <w:gridSpan w:val="1"/>
            <w:noWrap/>
          </w:tcPr>
          <w:p>
            <w:pPr/>
            <w:r>
              <w:rPr/>
              <w:t xml:space="preserve">150,000</w:t>
            </w:r>
          </w:p>
        </w:tc>
        <w:tc>
          <w:tcPr>
            <w:tcW w:w="4000" w:type="dxa"/>
            <w:gridSpan w:val="1"/>
            <w:noWrap/>
          </w:tcPr>
          <w:p>
            <w:pPr/>
            <w:r>
              <w:rPr>
                <w:i w:val="1"/>
                <w:iCs w:val="1"/>
              </w:rPr>
              <w:t xml:space="preserve">(not set or not applicable)</w:t>
            </w:r>
          </w:p>
        </w:tc>
        <w:tc>
          <w:tcPr>
            <w:tcW w:w="4000" w:type="dxa"/>
            <w:gridSpan w:val="1"/>
            <w:noWrap/>
          </w:tcPr>
          <w:p>
            <w:pPr/>
            <w:r>
              <w:rPr/>
              <w:t xml:space="preserve">The target is off-track.</w:t>
            </w:r>
          </w:p>
          <w:p>
            <w:pPr/>
            <w:r>
              <w:rPr/>
              <w:t xml:space="preserve"/>
            </w:r>
          </w:p>
          <w:p>
            <w:pPr/>
            <w:r>
              <w:rPr/>
              <w:t xml:space="preserve">Activities associated with this indicator have not yet commenced, as the Development Communication Specialist—who will lead the implementation of Information, Education, and Communication (IEC) activities—has not yet been engaged.</w:t>
            </w:r>
          </w:p>
          <w:p>
            <w:pPr/>
            <w:r>
              <w:rPr/>
              <w:t xml:space="preserve"/>
            </w:r>
          </w:p>
          <w:p>
            <w:pPr/>
            <w:r>
              <w:rPr/>
              <w:t xml:space="preserve">To address this, the PMU, once engaged, will fast-track the hiring process for the consultant. In parallel, a catch-up plan will be developed to ensure timely implementation of the IEC activities once the specialist is onboarded.</w:t>
            </w:r>
          </w:p>
          <w:p>
            <w:pPr/>
            <w:r>
              <w:rPr/>
              <w:t xml:space="preserve"/>
            </w:r>
          </w:p>
          <w:p>
            <w:pPr/>
            <w:r>
              <w:rPr/>
              <w:t xml:space="preserve">As of the reporting period, project activities have not yet commenced, and the expected date of delivery of the activities will be determined by the PMU and included in the catch-up plan.</w:t>
            </w:r>
          </w:p>
        </w:tc>
      </w:tr>
      <w:tr>
        <w:trPr/>
        <w:tc>
          <w:tcPr>
            <w:tcW w:w="4000" w:type="dxa"/>
            <w:gridSpan w:val="1"/>
            <w:noWrap/>
          </w:tcPr>
          <w:p>
            <w:pPr/>
            <w:r>
              <w:rPr>
                <w:b w:val="1"/>
                <w:bCs w:val="1"/>
              </w:rPr>
              <w:t xml:space="preserve">The progress of the objective/outcome can be described as:</w:t>
            </w:r>
          </w:p>
        </w:tc>
        <w:tc>
          <w:tcPr>
            <w:tcW w:w="12000" w:type="dxa"/>
            <w:gridSpan w:val="5"/>
            <w:noWrap/>
          </w:tcPr>
          <w:p>
            <w:pPr/>
            <w:r>
              <w:rPr>
                <w:b w:val="1"/>
                <w:bCs w:val="1"/>
              </w:rPr>
              <w:t xml:space="preserve">Off track</w:t>
            </w:r>
          </w:p>
        </w:tc>
      </w:tr>
      <w:tr>
        <w:trPr/>
        <w:tc>
          <w:tcPr>
            <w:tcW w:w="4000" w:type="dxa"/>
            <w:gridSpan w:val="1"/>
            <w:noWrap/>
          </w:tcPr>
          <w:p>
            <w:pPr/>
            <w:r>
              <w:rPr>
                <w:b w:val="1"/>
                <w:bCs w:val="1"/>
              </w:rPr>
              <w:t xml:space="preserve">Evidence uploaded:</w:t>
            </w:r>
          </w:p>
        </w:tc>
        <w:tc>
          <w:tcPr>
            <w:tcW w:w="12000" w:type="dxa"/>
            <w:gridSpan w:val="5"/>
            <w:noWrap/>
          </w:tcPr>
          <w:p>
            <w:pPr/>
            <w:r>
              <w:rPr/>
              <w:t xml:space="preserve">N/A</w:t>
            </w:r>
          </w:p>
        </w:tc>
      </w:tr>
      <w:tr>
        <w:trPr/>
        <w:tc>
          <w:tcPr>
            <w:tcW w:w="4000" w:type="dxa"/>
            <w:gridSpan w:val="1"/>
            <w:noWrap/>
          </w:tcPr>
          <w:p>
            <w:pPr/>
            <w:r>
              <w:rPr>
                <w:b w:val="1"/>
                <w:bCs w:val="1"/>
              </w:rPr>
              <w:t xml:space="preserve">Explanation why the evidence was not provided:</w:t>
            </w:r>
          </w:p>
        </w:tc>
        <w:tc>
          <w:tcPr>
            <w:tcW w:w="12000" w:type="dxa"/>
            <w:gridSpan w:val="5"/>
            <w:noWrap/>
          </w:tcPr>
          <w:p>
            <w:pPr>
              <w:spacing w:before="0" w:after="0"/>
            </w:pPr>
            <w:r>
              <w:rPr/>
              <w:t xml:space="preserve">Project implementation has not yet commenced due to issues with the transfer of funds resulting from the National Budget Circular (NBC) 581, a recent policy that governs loans and grants in the Philippines.</w:t>
            </w:r>
          </w:p>
        </w:tc>
      </w:tr>
    </w:tbl>
    <w:p>
      <w:pPr>
        <w:pStyle w:val="Heading2"/>
      </w:pPr>
      <w:bookmarkStart w:id="4" w:name="_Toc4"/>
      <w:r>
        <w:t>Action plan</w:t>
      </w:r>
      <w:bookmarkEnd w:id="4"/>
    </w:p>
    <w:tbl>
      <w:tblGrid>
        <w:gridCol w:w="3000" w:type="dxa"/>
        <w:gridCol w:w="5000" w:type="dxa"/>
        <w:gridCol w:w="5000" w:type="dxa"/>
        <w:gridCol w:w="3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3000" w:type="dxa"/>
            <w:gridSpan w:val="1"/>
            <w:noWrap/>
          </w:tcPr>
          <w:p>
            <w:pPr/>
            <w:r>
              <w:rPr>
                <w:b w:val="1"/>
                <w:bCs w:val="1"/>
              </w:rPr>
              <w:t xml:space="preserve">Off-track objective/outcome</w:t>
            </w:r>
          </w:p>
        </w:tc>
        <w:tc>
          <w:tcPr>
            <w:tcW w:w="5000" w:type="dxa"/>
            <w:gridSpan w:val="1"/>
            <w:noWrap/>
          </w:tcPr>
          <w:p>
            <w:pPr/>
            <w:r>
              <w:rPr>
                <w:b w:val="1"/>
                <w:bCs w:val="1"/>
              </w:rPr>
              <w:t xml:space="preserve">Action(s) to be taken</w:t>
            </w:r>
          </w:p>
        </w:tc>
        <w:tc>
          <w:tcPr>
            <w:tcW w:w="5000" w:type="dxa"/>
            <w:gridSpan w:val="1"/>
            <w:noWrap/>
          </w:tcPr>
          <w:p>
            <w:pPr/>
            <w:r>
              <w:rPr>
                <w:b w:val="1"/>
                <w:bCs w:val="1"/>
              </w:rPr>
              <w:t xml:space="preserve">Responsible party/ies</w:t>
            </w:r>
          </w:p>
        </w:tc>
        <w:tc>
          <w:tcPr>
            <w:tcW w:w="3000" w:type="dxa"/>
            <w:gridSpan w:val="1"/>
            <w:noWrap/>
          </w:tcPr>
          <w:p>
            <w:pPr/>
            <w:r>
              <w:rPr>
                <w:b w:val="1"/>
                <w:bCs w:val="1"/>
              </w:rPr>
              <w:t xml:space="preserve">Due Date</w:t>
            </w:r>
          </w:p>
        </w:tc>
      </w:tr>
      <w:tr>
        <w:trPr/>
        <w:tc>
          <w:tcPr>
            <w:tcW w:w="3000" w:type="dxa"/>
            <w:gridSpan w:val="1"/>
            <w:noWrap/>
          </w:tcPr>
          <w:p>
            <w:pPr/>
            <w:r>
              <w:rPr/>
              <w:t xml:space="preserve">Objective</w:t>
            </w:r>
          </w:p>
        </w:tc>
        <w:tc>
          <w:tcPr>
            <w:tcW w:w="5000" w:type="dxa"/>
            <w:gridSpan w:val="1"/>
            <w:noWrap/>
          </w:tcPr>
          <w:p>
            <w:pPr/>
            <w:r>
              <w:rPr/>
              <w:t xml:space="preserve">Due to delays brought about by external factors, the project's multi-year workplan will have to be revisited by the PMU and   further deliberated with the Project Board to ensure that project activities are still relevant and will contribute to the over-all goal of the project. A catch-up plan will be formulated to address delays in implementation once the PMU is on-board.</w:t>
            </w:r>
          </w:p>
          <w:p>
            <w:pPr/>
            <w:r>
              <w:rPr/>
              <w:t xml:space="preserve"/>
            </w:r>
          </w:p>
        </w:tc>
        <w:tc>
          <w:tcPr>
            <w:tcW w:w="5000" w:type="dxa"/>
            <w:gridSpan w:val="1"/>
            <w:noWrap/>
          </w:tcPr>
          <w:p>
            <w:pPr/>
            <w:r>
              <w:rPr/>
              <w:t xml:space="preserve">BSWM (National Project Director) and PMU</w:t>
            </w:r>
          </w:p>
        </w:tc>
        <w:tc>
          <w:tcPr>
            <w:tcW w:w="3000" w:type="dxa"/>
            <w:gridSpan w:val="1"/>
            <w:noWrap/>
          </w:tcPr>
          <w:p>
            <w:pPr/>
            <w:r>
              <w:rPr/>
              <w:t xml:space="preserve">Jul 27, 2028</w:t>
            </w:r>
          </w:p>
        </w:tc>
      </w:tr>
      <w:tr>
        <w:trPr/>
        <w:tc>
          <w:tcPr>
            <w:tcW w:w="3000" w:type="dxa"/>
            <w:gridSpan w:val="1"/>
            <w:noWrap/>
          </w:tcPr>
          <w:p>
            <w:pPr/>
            <w:r>
              <w:rPr/>
              <w:t xml:space="preserve">Outcome 1</w:t>
            </w:r>
          </w:p>
        </w:tc>
        <w:tc>
          <w:tcPr>
            <w:tcW w:w="5000" w:type="dxa"/>
            <w:gridSpan w:val="1"/>
            <w:noWrap/>
          </w:tcPr>
          <w:p>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p>
            <w:pPr/>
            <w:r>
              <w:rPr/>
              <w:t xml:space="preserve"/>
            </w:r>
          </w:p>
        </w:tc>
        <w:tc>
          <w:tcPr>
            <w:tcW w:w="5000" w:type="dxa"/>
            <w:gridSpan w:val="1"/>
            <w:noWrap/>
          </w:tcPr>
          <w:p>
            <w:pPr/>
            <w:r>
              <w:rPr/>
              <w:t xml:space="preserve">BSWM (National Project Director) and PMU</w:t>
            </w:r>
          </w:p>
        </w:tc>
        <w:tc>
          <w:tcPr>
            <w:tcW w:w="3000" w:type="dxa"/>
            <w:gridSpan w:val="1"/>
            <w:noWrap/>
          </w:tcPr>
          <w:p>
            <w:pPr/>
            <w:r>
              <w:rPr/>
              <w:t xml:space="preserve">Jul 27, 2028</w:t>
            </w:r>
          </w:p>
        </w:tc>
      </w:tr>
      <w:tr>
        <w:trPr/>
        <w:tc>
          <w:tcPr>
            <w:tcW w:w="3000" w:type="dxa"/>
            <w:gridSpan w:val="1"/>
            <w:noWrap/>
          </w:tcPr>
          <w:p>
            <w:pPr/>
            <w:r>
              <w:rPr/>
              <w:t xml:space="preserve">Outcome 2</w:t>
            </w:r>
          </w:p>
        </w:tc>
        <w:tc>
          <w:tcPr>
            <w:tcW w:w="5000" w:type="dxa"/>
            <w:gridSpan w:val="1"/>
            <w:noWrap/>
          </w:tcPr>
          <w:p>
            <w:pPr/>
            <w:r>
              <w:rPr/>
              <w:t xml:space="preserve">As recommended during the inception workshop, the multi-year workplan will be further deliberated with the Project Board due to proposals to modify some project activities. Once the PMU is onboard, the catch-up plan will be developed while concurrently updating the SEP and the IPPF. Additionally, consultative meetings will be conducted with the concerned LGUs to identify strategic entry points for the development of the PES mechanism in the CDORB LGUs.</w:t>
            </w:r>
          </w:p>
        </w:tc>
        <w:tc>
          <w:tcPr>
            <w:tcW w:w="5000" w:type="dxa"/>
            <w:gridSpan w:val="1"/>
            <w:noWrap/>
          </w:tcPr>
          <w:p>
            <w:pPr/>
            <w:r>
              <w:rPr/>
              <w:t xml:space="preserve">BSWM (National Project Director) and PMU</w:t>
            </w:r>
          </w:p>
        </w:tc>
        <w:tc>
          <w:tcPr>
            <w:tcW w:w="3000" w:type="dxa"/>
            <w:gridSpan w:val="1"/>
            <w:noWrap/>
          </w:tcPr>
          <w:p>
            <w:pPr/>
            <w:r>
              <w:rPr/>
              <w:t xml:space="preserve">Jul 27, 2028</w:t>
            </w:r>
          </w:p>
        </w:tc>
      </w:tr>
      <w:tr>
        <w:trPr/>
        <w:tc>
          <w:tcPr>
            <w:tcW w:w="3000" w:type="dxa"/>
            <w:gridSpan w:val="1"/>
            <w:noWrap/>
          </w:tcPr>
          <w:p>
            <w:pPr/>
            <w:r>
              <w:rPr/>
              <w:t xml:space="preserve">Outcome 3</w:t>
            </w:r>
          </w:p>
        </w:tc>
        <w:tc>
          <w:tcPr>
            <w:tcW w:w="5000" w:type="dxa"/>
            <w:gridSpan w:val="1"/>
            <w:noWrap/>
          </w:tcPr>
          <w:p>
            <w:pPr/>
            <w:r>
              <w:rPr/>
              <w:t xml:space="preserve">As recommended during the inception workshop, the multi-year workplan will be further deliberated with the Project Board due to proposals to modify some project activities. A catch-up plan will be formulated to address delays in implementation once the PMU is on-board</w:t>
            </w:r>
          </w:p>
        </w:tc>
        <w:tc>
          <w:tcPr>
            <w:tcW w:w="5000" w:type="dxa"/>
            <w:gridSpan w:val="1"/>
            <w:noWrap/>
          </w:tcPr>
          <w:p>
            <w:pPr/>
            <w:r>
              <w:rPr/>
              <w:t xml:space="preserve">BSWM (National Project Director) and PMU</w:t>
            </w:r>
          </w:p>
        </w:tc>
        <w:tc>
          <w:tcPr>
            <w:tcW w:w="3000" w:type="dxa"/>
            <w:gridSpan w:val="1"/>
            <w:noWrap/>
          </w:tcPr>
          <w:p>
            <w:pPr/>
            <w:r>
              <w:rPr/>
              <w:t xml:space="preserve">Jul 27, 2028</w:t>
            </w:r>
          </w:p>
        </w:tc>
      </w:tr>
    </w:tbl>
    <w:p>
      <w:pPr>
        <w:sectPr>
          <w:pgSz w:orient="landscape" w:w="16837.79527559055" w:h="11905.511811023622"/>
          <w:pgMar w:top="500" w:right="500" w:bottom="500" w:left="500" w:header="720" w:footer="720" w:gutter="0"/>
          <w:cols w:num="1" w:space="720"/>
        </w:sectPr>
      </w:pPr>
    </w:p>
    <w:p>
      <w:pPr>
        <w:pStyle w:val="Heading1"/>
      </w:pPr>
      <w:bookmarkStart w:id="5" w:name="_Toc5"/>
      <w:r>
        <w:t>Finance/Co-Finance</w:t>
      </w:r>
      <w:bookmarkEnd w:id="5"/>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vAlign w:val="center"/>
            <w:noWrap/>
          </w:tcPr>
          <w:p>
            <w:pPr/>
            <w:r>
              <w:rPr/>
              <w:t xml:space="preserve">Cumulative disbursement as of Jun 30, 2025:</w:t>
            </w:r>
          </w:p>
          <w:p>
            <w:pPr/>
            <w:r>
              <w:rPr>
                <w:i w:val="1"/>
                <w:iCs w:val="1"/>
              </w:rPr>
              <w:t xml:space="preserve">
*Disbursement for the FY 2025 period is an estimate as books for UNDP Q2 2025 are not yet closed.</w:t>
            </w:r>
          </w:p>
        </w:tc>
        <w:tc>
          <w:tcPr>
            <w:tcW w:w="5000" w:type="dxa"/>
            <w:vAlign w:val="center"/>
            <w:gridSpan w:val="1"/>
            <w:noWrap/>
          </w:tcPr>
          <w:p>
            <w:pPr>
              <w:jc w:val="right"/>
            </w:pPr>
            <w:r>
              <w:rPr/>
              <w:t xml:space="preserve">8,917</w:t>
            </w:r>
          </w:p>
        </w:tc>
      </w:tr>
    </w:tbl>
    <w:p>
      <w:pPr>
        <w:pStyle w:val="Heading2"/>
      </w:pPr>
      <w:bookmarkStart w:id="6" w:name="_Toc6"/>
      <w:r>
        <w:t>Key Financing Amounts</w:t>
      </w:r>
      <w:bookmarkEnd w:id="6"/>
    </w:p>
    <w:tbl>
      <w:tblGrid>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t xml:space="preserve">PPG Amount</w:t>
            </w:r>
          </w:p>
        </w:tc>
        <w:tc>
          <w:tcPr>
            <w:tcW w:w="5000" w:type="dxa"/>
            <w:vAlign w:val="center"/>
            <w:gridSpan w:val="1"/>
            <w:noWrap/>
          </w:tcPr>
          <w:p>
            <w:pPr>
              <w:jc w:val="right"/>
            </w:pPr>
            <w:r>
              <w:rPr/>
              <w:t xml:space="preserve">150,000</w:t>
            </w:r>
          </w:p>
        </w:tc>
      </w:tr>
      <w:tr>
        <w:trPr/>
        <w:tc>
          <w:tcPr>
            <w:tcW w:w="5000" w:type="dxa"/>
            <w:gridSpan w:val="1"/>
            <w:noWrap/>
          </w:tcPr>
          <w:p>
            <w:pPr/>
            <w:r>
              <w:rPr/>
              <w:t xml:space="preserve">GEF Grant Amount</w:t>
            </w:r>
          </w:p>
        </w:tc>
        <w:tc>
          <w:tcPr>
            <w:tcW w:w="5000" w:type="dxa"/>
            <w:vAlign w:val="center"/>
            <w:gridSpan w:val="1"/>
            <w:noWrap/>
          </w:tcPr>
          <w:p>
            <w:pPr>
              <w:jc w:val="right"/>
            </w:pPr>
            <w:r>
              <w:rPr/>
              <w:t xml:space="preserve">3,273,990</w:t>
            </w:r>
          </w:p>
        </w:tc>
      </w:tr>
      <w:tr>
        <w:trPr/>
        <w:tc>
          <w:tcPr>
            <w:tcW w:w="5000" w:type="dxa"/>
            <w:gridSpan w:val="1"/>
            <w:noWrap/>
          </w:tcPr>
          <w:p>
            <w:pPr/>
            <w:r>
              <w:rPr/>
              <w:t xml:space="preserve">Co-financing</w:t>
            </w:r>
          </w:p>
        </w:tc>
        <w:tc>
          <w:tcPr>
            <w:tcW w:w="5000" w:type="dxa"/>
            <w:vAlign w:val="center"/>
            <w:gridSpan w:val="1"/>
            <w:noWrap/>
          </w:tcPr>
          <w:p>
            <w:pPr>
              <w:jc w:val="right"/>
            </w:pPr>
            <w:r>
              <w:rPr/>
              <w:t xml:space="preserve">76,017,688</w:t>
            </w:r>
          </w:p>
        </w:tc>
      </w:tr>
    </w:tbl>
    <w:p>
      <w:pPr>
        <w:sectPr>
          <w:pgSz w:orient="portrait" w:w="11905.511811023622" w:h="16837.79527559055"/>
          <w:pgMar w:top="1440" w:right="1440" w:bottom="1440" w:left="1440" w:header="720" w:footer="720" w:gutter="0"/>
          <w:cols w:num="1" w:space="720"/>
        </w:sectPr>
      </w:pPr>
    </w:p>
    <w:p>
      <w:pPr>
        <w:pStyle w:val="Heading1"/>
      </w:pPr>
      <w:bookmarkStart w:id="7" w:name="_Toc7"/>
      <w:r>
        <w:t>Implementation Progress</w:t>
      </w:r>
      <w:bookmarkEnd w:id="7"/>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Project Manager: Please provide comments on delays with outputs/activities during the period 1 July 2024 through 30 June 2025.  If there were no delays, please indicate 'not applicable'.</w:t>
            </w:r>
          </w:p>
        </w:tc>
      </w:tr>
      <w:tr>
        <w:trPr/>
        <w:tc>
          <w:tcPr>
            <w:tcW w:w="10000" w:type="dxa"/>
            <w:gridSpan w:val="1"/>
            <w:noWrap/>
          </w:tcPr>
          <w:p>
            <w:pPr/>
            <w:r>
              <w:rPr/>
              <w:t xml:space="preserve">We have yet to implement the project due to new government policies.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CO Programme Officer: Please include specific measures to manage the project's implementation performance</w:t>
            </w:r>
          </w:p>
          <w:p>
            <w:pPr/>
            <w:r>
              <w:rPr>
                <w:b w:val="1"/>
                <w:bCs w:val="1"/>
              </w:rPr>
              <w:t xml:space="preserve"/>
            </w:r>
          </w:p>
          <w:p>
            <w:pPr/>
            <w:r>
              <w:rPr>
                <w:b w:val="1"/>
                <w:bCs w:val="1"/>
              </w:rPr>
              <w:t xml:space="preserve"/>
            </w:r>
          </w:p>
        </w:tc>
      </w:tr>
      <w:tr>
        <w:trPr/>
        <w:tc>
          <w:tcPr>
            <w:tcW w:w="10000" w:type="dxa"/>
            <w:gridSpan w:val="1"/>
            <w:noWrap/>
          </w:tcPr>
          <w:p>
            <w:pPr/>
            <w:r>
              <w:rPr/>
              <w:t xml:space="preserve">The Project has faced several challenges stemming from government processes, resulting in significant delays in project implementation. These include the issuance of the SPA that is required before the IP signs the project document, the tedious process in the formation of the National Project Board that is necessary to approve the annual work plan (AWP) and guide the execution of the Project, including the hiring of the PMU staff, and the unclear implementation mechanism of NBC 581 governing the transfer of funds from externally financed projects that still prevails until this reporting period.</w:t>
            </w:r>
          </w:p>
          <w:p>
            <w:pPr/>
            <w:r>
              <w:rPr/>
              <w:t xml:space="preserve"/>
            </w:r>
          </w:p>
          <w:p>
            <w:pPr/>
            <w:r>
              <w:rPr/>
              <w:t xml:space="preserve">Given this situation, the BSWM and UNDP were able to initiate some pre-implementation activities to compensate for the delays using their funds, including reorienting project stakeholders in Bukidnon through online meetings and site visits to maintain their interest in participating in project activities. The transfer of funds from UNDP to BSWM is underway; however, some gray areas still need to be navigated by the Project, as issues related to the implementation of NBC 581 have not been resolved as of the reporting period, including how the funds will be received by the Implementing Partner (BSWM). A catch-up plan will be prepared once the PMU staff is on board to include every aspect of the project.</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include specific measures to manage the project's implementation performance.</w:t>
            </w:r>
          </w:p>
        </w:tc>
      </w:tr>
      <w:tr>
        <w:trPr/>
        <w:tc>
          <w:tcPr>
            <w:tcW w:w="10000" w:type="dxa"/>
            <w:gridSpan w:val="1"/>
            <w:noWrap/>
          </w:tcPr>
          <w:p>
            <w:pPr/>
            <w:r>
              <w:rPr/>
              <w:t xml:space="preserve">The RTA recommends to fully resolve the issues with the project’s fund transfer and setting up of the project board and to finalise the accelerated multi-year work plan as soon as possible.</w:t>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8" w:name="_Toc8"/>
      <w:r>
        <w:t>Project Governance</w:t>
      </w:r>
      <w:bookmarkEnd w:id="8"/>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enter the dates of Project Board meetings during the reporting period (1 July 2024 to 30 June 2025)</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9" w:name="_Toc9"/>
      <w:r>
        <w:t>Ratings and Overall Assessments</w:t>
      </w:r>
      <w:bookmarkEnd w:id="9"/>
    </w:p>
    <w:tbl>
      <w:tblGrid>
        <w:gridCol w:w="5000" w:type="dxa"/>
        <w:gridCol w:w="5000" w:type="dxa"/>
        <w:gridCol w:w="5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5000" w:type="dxa"/>
            <w:gridSpan w:val="1"/>
            <w:noWrap/>
          </w:tcPr>
          <w:p>
            <w:pPr/>
            <w:r>
              <w:rPr>
                <w:b w:val="1"/>
                <w:bCs w:val="1"/>
              </w:rPr>
              <w:t xml:space="preserve">2025 Development Objective Progress Rating</w:t>
            </w:r>
          </w:p>
        </w:tc>
        <w:tc>
          <w:tcPr>
            <w:tcW w:w="5000" w:type="dxa"/>
            <w:gridSpan w:val="1"/>
            <w:noWrap/>
          </w:tcPr>
          <w:p>
            <w:pPr/>
            <w:r>
              <w:rPr>
                <w:b w:val="1"/>
                <w:bCs w:val="1"/>
              </w:rPr>
              <w:t xml:space="preserve">2025 Implementation Progress Rating</w:t>
            </w:r>
          </w:p>
        </w:tc>
      </w:tr>
      <w:tr>
        <w:trPr/>
        <w:tc>
          <w:tcPr>
            <w:tcW w:w="5000" w:type="dxa"/>
            <w:gridSpan w:val="1"/>
            <w:noWrap/>
          </w:tcPr>
          <w:p>
            <w:pPr/>
            <w:r>
              <w:rPr>
                <w:b w:val="1"/>
                <w:bCs w:val="1"/>
              </w:rPr>
              <w:t xml:space="preserve">UNDP BPPS Technical Advisor</w:t>
            </w:r>
          </w:p>
        </w:tc>
        <w:tc>
          <w:tcPr>
            <w:tcW w:w="5000" w:type="dxa"/>
            <w:gridSpan w:val="1"/>
            <w:noWrap/>
          </w:tcPr>
          <w:p>
            <w:pPr/>
            <w:r>
              <w:rPr/>
              <w:t xml:space="preserve">Moderately Unsatisfactory</w:t>
            </w:r>
          </w:p>
        </w:tc>
        <w:tc>
          <w:tcPr>
            <w:tcW w:w="5000" w:type="dxa"/>
            <w:gridSpan w:val="1"/>
            <w:noWrap/>
          </w:tcPr>
          <w:p>
            <w:pPr/>
            <w:r>
              <w:rPr/>
              <w:t xml:space="preserve">Moderately Unsatisfactory</w:t>
            </w:r>
          </w:p>
        </w:tc>
      </w:tr>
    </w:tbl>
    <w:p>
      <w:pPr/>
      <w:r>
        <w:rPr/>
        <w:t xml:space="preserve"/>
      </w:r>
    </w:p>
    <w:tbl>
      <w:tblGrid>
        <w:gridCol w:w="5000" w:type="dxa"/>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5000" w:type="dxa"/>
            <w:gridSpan w:val="1"/>
            <w:noWrap/>
          </w:tcPr>
          <w:p>
            <w:pPr/>
            <w:r>
              <w:rPr>
                <w:b w:val="1"/>
                <w:bCs w:val="1"/>
              </w:rPr>
              <w:t xml:space="preserve">Role</w:t>
            </w:r>
          </w:p>
        </w:tc>
        <w:tc>
          <w:tcPr>
            <w:tcW w:w="10000" w:type="dxa"/>
            <w:gridSpan w:val="1"/>
            <w:noWrap/>
          </w:tcPr>
          <w:p>
            <w:pPr/>
            <w:r>
              <w:rPr>
                <w:b w:val="1"/>
                <w:bCs w:val="1"/>
              </w:rPr>
              <w:t xml:space="preserve">2025 Overall Assessment</w:t>
            </w:r>
          </w:p>
        </w:tc>
      </w:tr>
      <w:tr>
        <w:trPr/>
        <w:tc>
          <w:tcPr>
            <w:tcW w:w="5000" w:type="dxa"/>
            <w:gridSpan w:val="1"/>
            <w:noWrap/>
          </w:tcPr>
          <w:p>
            <w:pPr/>
            <w:r>
              <w:rPr>
                <w:b w:val="1"/>
                <w:bCs w:val="1"/>
              </w:rPr>
              <w:t xml:space="preserve">UNDP BPPS Technical Advisor</w:t>
            </w:r>
          </w:p>
        </w:tc>
        <w:tc>
          <w:tcPr>
            <w:tcW w:w="10000" w:type="dxa"/>
            <w:gridSpan w:val="1"/>
            <w:noWrap/>
          </w:tcPr>
          <w:p>
            <w:pPr/>
            <w:r>
              <w:rPr/>
              <w:t xml:space="preserve">This is the first PIR for the project titled, “Securing Long-Term Sustainability of Multi-functional Landscapes in Critical River Basins of the Philippines”, which is implemented by the Department of Agriculture - Bureau of Soils and Water Management (DA-BSWM). It is articulated around one objective, namely to create an enabling environment for the realization of the National Land Degradation Neutrality Target and to mainstream biodiversity-friendly agricultural practices in the Cagayan de Oro River Basin (CDORB) through national policy framework implementation and capacity strengthening and three outcomes: 1. Enabling policy environment created for LDN and BDFAP and capacity for integrated landscape management enhanced at sub-national level leading to improved biodiversity and ecosystem services in the Cagayan de Oro River Basin; 2. Improved management of 58,000 ha of cultivated landscapes ensured by small holder farmers, IP communities and multi-national companies through adoption of sustainable land management and biodiversity friendly agriculture practices; and 3. Capacity and awareness of stakeholders raised on LDN, SLM and BDFA practices and integrated landscape management approaches by effective gender sensitive knowledge management and project M&amp;E ensured.</w:t>
            </w:r>
          </w:p>
          <w:p>
            <w:pPr/>
            <w:r>
              <w:rPr/>
              <w:t xml:space="preserve"/>
            </w:r>
          </w:p>
          <w:p>
            <w:pPr/>
            <w:r>
              <w:rPr/>
              <w:t xml:space="preserve">It took 14 months to sign the Project Document (27 July 2023) following CEO endorsement (24 May 2022), due to the new requirement for clearance by the Presidential Office in the Philippines.</w:t>
            </w:r>
          </w:p>
          <w:p>
            <w:pPr/>
            <w:r>
              <w:rPr/>
              <w:t xml:space="preserve"/>
            </w:r>
          </w:p>
          <w:p>
            <w:pPr/>
            <w:r>
              <w:rPr/>
              <w:t xml:space="preserve">Further delays were encountered due to the following:</w:t>
            </w:r>
          </w:p>
          <w:p>
            <w:pPr/>
            <w:r>
              <w:rPr/>
              <w:t xml:space="preserve"/>
            </w:r>
          </w:p>
          <w:p>
            <w:pPr/>
            <w:r>
              <w:rPr/>
              <w:t xml:space="preserve">- the unclear implementation mechanism of National Budget Circular (NBC) number 2020- 581, governing the transfer of funds from externally financed projects that still prevails until this reporting period. Issued by the Department of Budget and Management (DBM) on December 27, 2020, the NBC provides guidelines and procedures for implementing Foreign-Assisted Projects (FAPs) in alignment with the Cash Budgeting System (CBS) and the Treasury Single Account (TSA) framework. The Circular dictates how funds transferred by UNDP and other UN agencies to the government are managed, disbursed and utilized. This guidelines provides that financial resources accrue to the National Treasury as a way to centralize all government cash transactions. Thus, the Implementing Partner is not allowed to receive cash directly from UNDP. Given the National Treasury route, the Implementing Partner may face delays in fund releases due to  additional compliance requirements, such as reporting obligations and approvals from the Bureau of Treasury (BTr) and DBM. Additionally, each funding modality (i.e., direct cash transfer, direct payments and reimbursements) also has its own process under NBC 581, which is also subject to delays depending on the interpretation of the Implementing Partners’ accounting and finance departments. Government agencies interpret this guidelines differently, leading to inconsistencies in TSA creation, fund disbursement procedures and delays in project execution, particularly for GEF-funded projects. This created lots of delays for the set-up the project account through the Bureau of Treasury and for the fund transfer issues to be resolved with the Bureau of Treasury (BTr) and the Department of Budget and Management (DBM). As of now, the transfer of funds from UNDP to BSWM is underway; however, there are still on-going issues with the implementation of NBC 58.</w:t>
            </w:r>
          </w:p>
          <w:p>
            <w:pPr/>
            <w:r>
              <w:rPr/>
              <w:t xml:space="preserve"/>
            </w:r>
          </w:p>
          <w:p>
            <w:pPr/>
            <w:r>
              <w:rPr/>
              <w:t xml:space="preserve">- Further, the Special Order (SO) creating the Project Board encountered some legal issues within the Department of Agriculture (DA), as its legal department would like to deviate from the composition of the Project Board in the ProDoc. It is a tedious process to form the National Project Board, which set-up is necessary to approve the annual work plan (AWP) and guide the execution of the Project, including the hiring of the Project Management Unit (PMU) staff.</w:t>
            </w:r>
          </w:p>
          <w:p>
            <w:pPr/>
            <w:r>
              <w:rPr/>
              <w:t xml:space="preserve"/>
            </w:r>
          </w:p>
          <w:p>
            <w:pPr/>
            <w:r>
              <w:rPr/>
              <w:t xml:space="preserve">An oversight mission was also performed by the RTA in November 2023, where there was a meeting with the Implementing Partner for this project and the Philippines UNDP Country Office, where those delays were discussed and follow-up and mitigation measures for the delays were discussed.</w:t>
            </w:r>
          </w:p>
          <w:p>
            <w:pPr/>
            <w:r>
              <w:rPr/>
              <w:t xml:space="preserve"/>
            </w:r>
          </w:p>
          <w:p>
            <w:pPr/>
            <w:r>
              <w:rPr/>
              <w:t xml:space="preserve">Despite those issues, UNDP and the Implementing Partner were able to implement the following using their own funds:</w:t>
            </w:r>
          </w:p>
          <w:p>
            <w:pPr/>
            <w:r>
              <w:rPr/>
              <w:t xml:space="preserve">-	The opening of the project account;</w:t>
            </w:r>
          </w:p>
          <w:p>
            <w:pPr/>
            <w:r>
              <w:rPr/>
              <w:t xml:space="preserve">-	A launch event for the project on World Soil Day;</w:t>
            </w:r>
          </w:p>
          <w:p>
            <w:pPr/>
            <w:r>
              <w:rPr/>
              <w:t xml:space="preserve">-	An inception workshop held on October 2024;</w:t>
            </w:r>
          </w:p>
          <w:p>
            <w:pPr/>
            <w:r>
              <w:rPr/>
              <w:t xml:space="preserve">-	The Interim Work and Financial Plan (IWFP) needed to hire the PMU was developed and the Terms of Reference for the PMU are ready;</w:t>
            </w:r>
          </w:p>
          <w:p>
            <w:pPr/>
            <w:r>
              <w:rPr/>
              <w:t xml:space="preserve">-	Stakeholder engagement was undertaken to update all partners and beneficiaries about the status of the project to maintain their interest in participating in the project; and</w:t>
            </w:r>
          </w:p>
          <w:p>
            <w:pPr/>
            <w:r>
              <w:rPr/>
              <w:t xml:space="preserve">-	Progress has been also made on advancing the Free and Prior Informed Consent (FPIC) process for the project, once it starts: this will be done through an abridged process via a Memorandum of Commitment (MOC), signed between the National Commission in Indigenous Peoples (NCIP) and BSWM.</w:t>
            </w:r>
          </w:p>
          <w:p>
            <w:pPr/>
            <w:r>
              <w:rPr/>
              <w:t xml:space="preserve"/>
            </w:r>
          </w:p>
          <w:p>
            <w:pPr/>
            <w:r>
              <w:rPr/>
              <w:t xml:space="preserve">In terms of corrective action, to be able to start implementing project activities once these issues have been resolved and as recommended during the inception workshop and the RTA oversight mission, a multi-year work plan is currently under discussion with the Project Board to address delays in implementation once the PMU is on board. Discussions also need to be held regarding fast and effective procurement so that further delays are not registered by the project once it starts.</w:t>
            </w:r>
          </w:p>
          <w:p>
            <w:pPr/>
            <w:r>
              <w:rPr/>
              <w:t xml:space="preserve"/>
            </w:r>
          </w:p>
          <w:p>
            <w:pPr/>
            <w:r>
              <w:rPr/>
              <w:t xml:space="preserve">The Medium-Term (MT) Review for this project is currently planned for May 2026.</w:t>
            </w:r>
          </w:p>
          <w:p>
            <w:pPr/>
            <w:r>
              <w:rPr/>
              <w:t xml:space="preserve"/>
            </w:r>
          </w:p>
          <w:p>
            <w:pPr/>
            <w:r>
              <w:rPr/>
              <w:t xml:space="preserve">All the evidence provided in this PIR has been verified and support the analysis and ratings. Of note is that the Project Manager is not yet recruited yet so did not provide input to this PIR. However, the OFP did, highlighting the delays and efforts made to mitigate those.</w:t>
            </w:r>
          </w:p>
          <w:p>
            <w:pPr/>
            <w:r>
              <w:rPr/>
              <w:t xml:space="preserve"/>
            </w:r>
          </w:p>
          <w:p>
            <w:pPr/>
            <w:r>
              <w:rPr/>
              <w:t xml:space="preserve">DEVELOPMENT OBJECTIVE RATING: Moderately Unsatisfactory</w:t>
            </w:r>
          </w:p>
          <w:p>
            <w:pPr/>
            <w:r>
              <w:rPr/>
              <w:t xml:space="preserve"/>
            </w:r>
          </w:p>
          <w:p>
            <w:pPr/>
            <w:r>
              <w:rPr/>
              <w:t xml:space="preserve">The activities have not started in this PIR cycle given the issues detailed above, this assessment will therefore not go into the detail of progress of each indicator at the Objective and Outcome levels.</w:t>
            </w:r>
          </w:p>
          <w:p>
            <w:pPr/>
            <w:r>
              <w:rPr/>
              <w:t xml:space="preserve"/>
            </w:r>
          </w:p>
          <w:p>
            <w:pPr/>
            <w:r>
              <w:rPr/>
              <w:t xml:space="preserve">Of note is that some of the baselines for indicators 1,5 and 9 were assessed and validated during the inception workshop, together with means of verifications, and are now reflected in this PIR.</w:t>
            </w:r>
          </w:p>
          <w:p>
            <w:pPr/>
            <w:r>
              <w:rPr/>
              <w:t xml:space="preserve"/>
            </w:r>
          </w:p>
          <w:p>
            <w:pPr/>
            <w:r>
              <w:rPr/>
              <w:t xml:space="preserve">The rating of Moderately Unsatisfactory is given, as no activity has started in this PIR cycle, creating major delays, despite the efforts of the IP and the CO to resolve the issues that out of the control of the project and its stakeholders.</w:t>
            </w:r>
          </w:p>
          <w:p>
            <w:pPr/>
            <w:r>
              <w:rPr/>
              <w:t xml:space="preserve"/>
            </w:r>
          </w:p>
          <w:p>
            <w:pPr/>
            <w:r>
              <w:rPr/>
              <w:t xml:space="preserve">At this stage, given the delays, the project is off-track and expected to only partially achieve its end of project targets by project closure. The project results might still be achieved if adaptative management is undertaken immediately, which is the case with the development of the multi-year work plan and procurement discussions.</w:t>
            </w:r>
          </w:p>
          <w:p>
            <w:pPr/>
            <w:r>
              <w:rPr/>
              <w:t xml:space="preserve"/>
            </w:r>
          </w:p>
          <w:p>
            <w:pPr/>
            <w:r>
              <w:rPr/>
              <w:t xml:space="preserve">PROJECT GOVERNANCE</w:t>
            </w:r>
          </w:p>
          <w:p>
            <w:pPr/>
            <w:r>
              <w:rPr/>
              <w:t xml:space="preserve">The project board has not yet been institutionalised yet due to the issues highlighted above.</w:t>
            </w:r>
          </w:p>
          <w:p>
            <w:pPr/>
            <w:r>
              <w:rPr/>
              <w:t xml:space="preserve"/>
            </w:r>
          </w:p>
          <w:p>
            <w:pPr/>
            <w:r>
              <w:rPr/>
              <w:t xml:space="preserve">RISK MANAGEMENT</w:t>
            </w:r>
          </w:p>
          <w:p>
            <w:pPr/>
            <w:r>
              <w:rPr/>
              <w:t xml:space="preserve">Please see the detailed risk section of this PIR.</w:t>
            </w:r>
          </w:p>
          <w:p>
            <w:pPr/>
            <w:r>
              <w:rPr/>
              <w:t xml:space="preserve"/>
            </w:r>
          </w:p>
          <w:p>
            <w:pPr/>
            <w:r>
              <w:rPr/>
              <w:t xml:space="preserve">STAKEHOLDER ENGAGEMENT</w:t>
            </w:r>
          </w:p>
          <w:p>
            <w:pPr/>
            <w:r>
              <w:rPr/>
              <w:t xml:space="preserve">A stakeholder engagement plan is available for the project (evidence provided), but its implementation has not fully started yet, as the project itself has not fully started.</w:t>
            </w:r>
          </w:p>
          <w:p>
            <w:pPr/>
            <w:r>
              <w:rPr/>
              <w:t xml:space="preserve"/>
            </w:r>
          </w:p>
          <w:p>
            <w:pPr/>
            <w:r>
              <w:rPr/>
              <w:t xml:space="preserve">However, stakeholders have been invited to the inception workshop and have been kept informed about the project to retail their buy-in through site visits and consultative meetings.</w:t>
            </w:r>
          </w:p>
          <w:p>
            <w:pPr/>
            <w:r>
              <w:rPr/>
              <w:t xml:space="preserve"/>
            </w:r>
          </w:p>
          <w:p>
            <w:pPr/>
            <w:r>
              <w:rPr/>
              <w:t xml:space="preserve">MINOR AMENDMENTS</w:t>
            </w:r>
          </w:p>
          <w:p>
            <w:pPr/>
            <w:r>
              <w:rPr/>
              <w:t xml:space="preserve">One minor amendment is registered since the start of the project, as decided upon by the inception workshop and approved by the RTA. It relates to the simplifications of the governance structure of the Project Board and creation of an Inter-Agency Technical Working Group (IATWG) to support better coordination.</w:t>
            </w:r>
          </w:p>
          <w:p>
            <w:pPr/>
            <w:r>
              <w:rPr/>
              <w:t xml:space="preserve"/>
            </w:r>
          </w:p>
          <w:p>
            <w:pPr/>
            <w:r>
              <w:rPr/>
              <w:t xml:space="preserve">ADVANCING GENDER EQUALITY AND WOMEN’S EMPOWERMENT</w:t>
            </w:r>
          </w:p>
          <w:p>
            <w:pPr/>
            <w:r>
              <w:rPr/>
              <w:t xml:space="preserve">A Gender Analysis and Action plan was developed at PPG stage. It will be implemented once the project activities start.</w:t>
            </w:r>
          </w:p>
          <w:p>
            <w:pPr/>
            <w:r>
              <w:rPr/>
              <w:t xml:space="preserve"/>
            </w:r>
          </w:p>
          <w:p>
            <w:pPr/>
            <w:r>
              <w:rPr/>
              <w:t xml:space="preserve">KNOWLEDGE MANAGEMENT AND COMMUNICATION</w:t>
            </w:r>
          </w:p>
          <w:p>
            <w:pPr/>
            <w:r>
              <w:rPr/>
              <w:t xml:space="preserve">This work has not started.</w:t>
            </w:r>
          </w:p>
          <w:p>
            <w:pPr/>
            <w:r>
              <w:rPr/>
              <w:t xml:space="preserve"/>
            </w:r>
          </w:p>
          <w:p>
            <w:pPr/>
            <w:r>
              <w:rPr/>
              <w:t xml:space="preserve">OVERALL FINANCIAL IMPLEMENTATION AND CO-FINANCING</w:t>
            </w:r>
          </w:p>
          <w:p>
            <w:pPr/>
            <w:r>
              <w:rPr/>
              <w:t xml:space="preserve">At of the date of writing this PIR, the project has achieved cumulative delivery against expected delivery of 0,4% totalling USD 8,917 linked with the costs of the inception workshop, against the total grant amount of USD 3,273,990.</w:t>
            </w:r>
          </w:p>
          <w:p>
            <w:pPr/>
            <w:r>
              <w:rPr/>
              <w:t xml:space="preserve"/>
            </w:r>
          </w:p>
          <w:p>
            <w:pPr/>
            <w:r>
              <w:rPr/>
              <w:t xml:space="preserve">On co-financing, the project does not record any co-financing at the moment given activities have not started. Total co-financing for the project during the PPG phase amounted to USD 76,017,688, which was confirmed at the inception workshop.</w:t>
            </w:r>
          </w:p>
          <w:p>
            <w:pPr/>
            <w:r>
              <w:rPr/>
              <w:t xml:space="preserve"/>
            </w:r>
          </w:p>
          <w:p>
            <w:pPr/>
            <w:r>
              <w:rPr/>
              <w:t xml:space="preserve">IMPLEMENTATION PROGRESS RATING: Moderately Unsatisfactory</w:t>
            </w:r>
          </w:p>
          <w:p>
            <w:pPr/>
            <w:r>
              <w:rPr/>
              <w:t xml:space="preserve"/>
            </w:r>
          </w:p>
          <w:p>
            <w:pPr/>
            <w:r>
              <w:rPr/>
              <w:t xml:space="preserve">As summarised above, no progress on the project components and activities has been recorded this year, despite some pre-activities, due to the issues with the transfer of funds.</w:t>
            </w:r>
          </w:p>
          <w:p>
            <w:pPr/>
            <w:r>
              <w:rPr/>
              <w:t xml:space="preserve"/>
            </w:r>
          </w:p>
          <w:p>
            <w:pPr/>
            <w:r>
              <w:rPr/>
              <w:t xml:space="preserve">However, remaining hopeful that the issues with fund transfer will be resolved this year, a yearly budget allocation for 2025 (USD 305,963) has already been processed, in line with the draft multi-year work plan being developed.</w:t>
            </w:r>
          </w:p>
          <w:p>
            <w:pPr/>
            <w:r>
              <w:rPr/>
              <w:t xml:space="preserve"/>
            </w:r>
          </w:p>
          <w:p>
            <w:pPr/>
            <w:r>
              <w:rPr/>
              <w:t xml:space="preserve">The MTR has not yet been conducted.</w:t>
            </w:r>
          </w:p>
          <w:p>
            <w:pPr/>
            <w:r>
              <w:rPr/>
              <w:t xml:space="preserve"/>
            </w:r>
          </w:p>
          <w:p>
            <w:pPr/>
            <w:r>
              <w:rPr/>
              <w:t xml:space="preserve">As per the detailed section of this PIR, the risk management for this project is appropriate. The RTA has specific recommendations, detailed in the relevant section and below.</w:t>
            </w:r>
          </w:p>
          <w:p>
            <w:pPr/>
            <w:r>
              <w:rPr/>
              <w:t xml:space="preserve"/>
            </w:r>
          </w:p>
          <w:p>
            <w:pPr/>
            <w:r>
              <w:rPr/>
              <w:t xml:space="preserve">As such, the rating for this year´s progress toward the project´s Implementation Progress is Moderately Unsatisfactory (MU): the implementation is not proceeding as planned and faces implementation challenges outside of the project’s range of adaptive management. Implementation of activities is off-track but could be resolved quickly once the project funds transfer is resolved, due to the preparatory work that the implementing partner and the UNDP Country Office have put in place.</w:t>
            </w:r>
          </w:p>
          <w:p>
            <w:pPr/>
            <w:r>
              <w:rPr/>
              <w:t xml:space="preserve"/>
            </w:r>
          </w:p>
          <w:p>
            <w:pPr/>
            <w:r>
              <w:rPr/>
              <w:t xml:space="preserve">----</w:t>
            </w:r>
          </w:p>
          <w:p>
            <w:pPr/>
            <w:r>
              <w:rPr/>
              <w:t xml:space="preserve">CHALLENGES OF PROJECT IMPLEMENTATION</w:t>
            </w:r>
          </w:p>
          <w:p>
            <w:pPr/>
            <w:r>
              <w:rPr/>
              <w:t xml:space="preserve"/>
            </w:r>
          </w:p>
          <w:p>
            <w:pPr/>
            <w:r>
              <w:rPr/>
              <w:t xml:space="preserve">In summary, the challenges for this project, as detailed above, include primarily the issue of financial and operational delivery given the issues with securing the ProDoc signature, then the setting up of the project account and transfer of funds.</w:t>
            </w:r>
          </w:p>
          <w:p>
            <w:pPr/>
            <w:r>
              <w:rPr/>
              <w:t xml:space="preserve"/>
            </w:r>
          </w:p>
          <w:p>
            <w:pPr/>
            <w:r>
              <w:rPr/>
              <w:t xml:space="preserve">Based on these challenges, but also taking note of the adaptative management that has been undertaken by the project team, the following are the RTA recommendations for the next PIR cycle:</w:t>
            </w:r>
          </w:p>
          <w:p>
            <w:pPr/>
            <w:r>
              <w:rPr/>
              <w:t xml:space="preserve">1.	To start project implementation and accelerate financial delivery: to fully resolve the issues with the project’s fund transfer and setting up of the project board and to finalise the accelerate multi-year implementation plan as soon as possible. To also discuss potential issues with procurement so that further delays are not registered by the project once it starts.</w:t>
            </w:r>
          </w:p>
          <w:p>
            <w:pPr/>
            <w:r>
              <w:rPr/>
              <w:t xml:space="preserve">2.	On governance: to establish the project board and recruit the PMU as soon as possible.</w:t>
            </w:r>
          </w:p>
          <w:p>
            <w:pPr/>
            <w:r>
              <w:rPr/>
              <w:t xml:space="preserve">3.	To develop a communication strategy for the project, once the project starts.</w:t>
            </w:r>
          </w:p>
          <w:p>
            <w:pPr/>
            <w:r>
              <w:rPr/>
              <w:t xml:space="preserve">4.	To add a high risk to the risk register linked with the delayed financial delivery, as well as associated mitigation measures and to update the safeguard-related risks, once the adequate safeguards assessments have been undertaken.</w:t>
            </w:r>
          </w:p>
          <w:p>
            <w:pPr/>
            <w:r>
              <w:rPr/>
              <w:t xml:space="preserve">5.	On safeguards, to share the ToR for the safeguards consultant for the project once developed with the RTA and the SES Technical advisor. This should include a re-screening of the SESP and ESMF. To also liaise with the RTA and the SES Technical advisor on scoping of the SESA and developing the ToR for the GRM. Further, to start the safeguards work as soon as the project starts and to implement related managements plans in sync with the corresponding activities.</w:t>
            </w:r>
          </w:p>
          <w:p>
            <w:pPr/>
            <w:r>
              <w:rPr/>
              <w:t xml:space="preserve"/>
            </w:r>
          </w:p>
        </w:tc>
      </w:tr>
      <w:tr>
        <w:trPr/>
        <w:tc>
          <w:tcPr>
            <w:tcW w:w="5000" w:type="dxa"/>
            <w:gridSpan w:val="1"/>
            <w:noWrap/>
          </w:tcPr>
          <w:p>
            <w:pPr/>
            <w:r>
              <w:rPr>
                <w:b w:val="1"/>
                <w:bCs w:val="1"/>
              </w:rPr>
              <w:t xml:space="preserve">UNDP Country Office Programme Officer</w:t>
            </w:r>
          </w:p>
        </w:tc>
        <w:tc>
          <w:tcPr>
            <w:tcW w:w="10000" w:type="dxa"/>
            <w:gridSpan w:val="1"/>
            <w:noWrap/>
          </w:tcPr>
          <w:p>
            <w:pPr/>
            <w:r>
              <w:rPr/>
              <w:t xml:space="preserve">The Project has faced several challenges stemming from government processes, resulting in significant delays in project implementation. These include the issuance of the Special Presidential Authority (SPA) that is required before the IP signs the project document, the tedious process in the formation of the National Project Board that is necessary to approve the annual work plan (AWP) and guide the execution of the Project, including the hiring of the Project Management Unit (PMU) staff, and the unclear implementation mechanism of National Budget Circular (NBC) 581 governing the transfer of funds from externally financed projects that still prevails until this reporting period. Overall, project implementation has been delayed by two (2) years after the signing of the project document on 27 July 2023.</w:t>
            </w:r>
          </w:p>
          <w:p>
            <w:pPr/>
            <w:r>
              <w:rPr/>
              <w:t xml:space="preserve"/>
            </w:r>
          </w:p>
          <w:p>
            <w:pPr/>
            <w:r>
              <w:rPr/>
              <w:t xml:space="preserve">To manage the delay, the Bureau of Soil and Water Management (BSWM) and the United Nations Development Programme initiated a number of pre-implementation activities using their funds, including the re-orientation of project stakeholders in Bukidnon through online meetings and site visits to maintain their interest in participating in project activities. Both agencies have been in touch with key stakeholders at the project sites, including the regional and provincial offices of the Department of Environment and Natural Resources (DENR), the Cagayan de Oro River Basin Management Council (CDRBMC), the regional office of the National Commission on Indigenous Peoples (NCIP), and the Provincial Government of Bukidnon to update them about the pre-implementation processes that the project needs to undertake.</w:t>
            </w:r>
          </w:p>
          <w:p>
            <w:pPr/>
            <w:r>
              <w:rPr/>
              <w:t xml:space="preserve"/>
            </w:r>
          </w:p>
          <w:p>
            <w:pPr/>
            <w:r>
              <w:rPr/>
              <w:t xml:space="preserve">The transfer of funds from UNDP to BSWM is underway; however, some gray areas still need to be navigated by the Project, as issues related to the implementation of NBC 581 has not been resolved as of the reporting period. A catch up plan will be prepared once the PMU staff is on board.</w:t>
            </w:r>
          </w:p>
          <w:p>
            <w:pPr/>
            <w:r>
              <w:rPr/>
              <w:t xml:space="preserve"/>
            </w:r>
          </w:p>
          <w:p>
            <w:pPr/>
            <w:r>
              <w:rPr/>
              <w:t xml:space="preserve"/>
            </w:r>
          </w:p>
          <w:p>
            <w:pPr/>
            <w:r>
              <w:rPr/>
              <w:t xml:space="preserve">----</w:t>
            </w:r>
          </w:p>
          <w:p>
            <w:pPr/>
            <w:r>
              <w:rPr/>
              <w:t xml:space="preserve"/>
            </w:r>
          </w:p>
        </w:tc>
      </w:tr>
      <w:tr>
        <w:trPr/>
        <w:tc>
          <w:tcPr>
            <w:tcW w:w="5000" w:type="dxa"/>
            <w:gridSpan w:val="1"/>
            <w:noWrap/>
          </w:tcPr>
          <w:p>
            <w:pPr/>
            <w:r>
              <w:rPr>
                <w:b w:val="1"/>
                <w:bCs w:val="1"/>
              </w:rPr>
              <w:t xml:space="preserve">Project Manager/Coordinator</w:t>
            </w:r>
          </w:p>
        </w:tc>
        <w:tc>
          <w:tcPr>
            <w:tcW w:w="10000" w:type="dxa"/>
            <w:gridSpan w:val="1"/>
            <w:noWrap/>
          </w:tcPr>
          <w:p>
            <w:pPr/>
            <w:r>
              <w:rPr/>
              <w:t xml:space="preserve">Due to the delayed mobilization of the Project Management Unit (PMU), the inputs of the Implementing Partner also reflect the comments of the Project Manager/Coordinator.</w:t>
            </w:r>
          </w:p>
          <w:p>
            <w:pPr/>
            <w:r>
              <w:rPr/>
              <w:t xml:space="preserve">----</w:t>
            </w:r>
          </w:p>
          <w:p>
            <w:pPr/>
            <w:r>
              <w:rPr/>
              <w:t xml:space="preserve"/>
            </w:r>
          </w:p>
        </w:tc>
      </w:tr>
      <w:tr>
        <w:trPr/>
        <w:tc>
          <w:tcPr>
            <w:tcW w:w="5000" w:type="dxa"/>
            <w:gridSpan w:val="1"/>
            <w:noWrap/>
          </w:tcPr>
          <w:p>
            <w:pPr/>
            <w:r>
              <w:rPr>
                <w:b w:val="1"/>
                <w:bCs w:val="1"/>
              </w:rPr>
              <w:t xml:space="preserve">GEF Operational Focal point</w:t>
            </w:r>
          </w:p>
        </w:tc>
        <w:tc>
          <w:tcPr>
            <w:tcW w:w="10000" w:type="dxa"/>
            <w:gridSpan w:val="1"/>
            <w:noWrap/>
          </w:tcPr>
          <w:p>
            <w:pPr/>
            <w:r>
              <w:rPr/>
              <w:t xml:space="preserve">Amidst the delays brought by different factors, such as the prolonged signing of the Special Presidential Authority (SPA), the uncertainties and/or unclear protocols surrounding the issuance of the National Budget Circular No. 2020-581, which in a big way affected the actual on-boarding of the Project Management Unit (PMU), and the final decision to craft a JMC, instead of a usual Special Order (S.O.), to formalize the Project Management Structure, the aforementioned precursors are among those which somehow results to hampering timely actual project implementation.</w:t>
            </w:r>
          </w:p>
          <w:p>
            <w:pPr/>
            <w:r>
              <w:rPr/>
              <w:t xml:space="preserve"/>
            </w:r>
          </w:p>
          <w:p>
            <w:pPr/>
            <w:r>
              <w:rPr/>
              <w:t xml:space="preserve">However, its notable that the Implementing Agency tried to carry on its tasks, and conducted pre-implementation activities, such as the Implementation Workshop, Regional Site Visits, and Consultative meetings, exploratory meetings with LGUs, and dialogue initiated by DA-BSWM, FASPS and UNDP on the project account with Bureau of Treasury, DBM and LBP, as well as drafting and fanning out to PB members of the Joint Memorandum Circular (JMC) to formalize the project management structure.</w:t>
            </w:r>
          </w:p>
          <w:p>
            <w:pPr/>
            <w:r>
              <w:rPr/>
              <w:t xml:space="preserve"/>
            </w:r>
          </w:p>
          <w:p>
            <w:pPr/>
            <w:r>
              <w:rPr/>
              <w:t xml:space="preserve">It earnestly hoped that crafting a catch-up plan would enable the project to finally achieve headway, and to get its project objectives on track and gain a satisfactory rating on the next reporting period. And, lastly, for the project to continuously make dialogues and/or necessary discussions with partners and stakeholders to initiate actual project implementation.</w:t>
            </w:r>
          </w:p>
          <w:p>
            <w:pPr/>
            <w:r>
              <w:rPr/>
              <w:t xml:space="preserve"/>
            </w:r>
          </w:p>
          <w:p>
            <w:pPr/>
            <w:r>
              <w:rPr/>
              <w:t xml:space="preserve">----</w:t>
            </w:r>
          </w:p>
          <w:p>
            <w:pPr/>
            <w:r>
              <w:rPr/>
              <w:t xml:space="preserve"/>
            </w:r>
          </w:p>
        </w:tc>
      </w:tr>
      <w:tr>
        <w:trPr/>
        <w:tc>
          <w:tcPr>
            <w:tcW w:w="5000" w:type="dxa"/>
            <w:gridSpan w:val="1"/>
            <w:noWrap/>
          </w:tcPr>
          <w:p>
            <w:pPr/>
            <w:r>
              <w:rPr>
                <w:b w:val="1"/>
                <w:bCs w:val="1"/>
              </w:rPr>
              <w:t xml:space="preserve">Project Implementing Partner</w:t>
            </w:r>
          </w:p>
        </w:tc>
        <w:tc>
          <w:tcPr>
            <w:tcW w:w="10000" w:type="dxa"/>
            <w:gridSpan w:val="1"/>
            <w:noWrap/>
          </w:tcPr>
          <w:p>
            <w:pPr/>
            <w:r>
              <w:rPr/>
              <w:t xml:space="preserve">Given the issuance of the National Budget Circular 2020-581, which governed all donor-supported projects, the Implementing Partner encountered confusion and delays in the processing. Specifically, the creation of the funding source code (UACS code) and the Treasurer of the Philippines (TOP)-Special Accounts were not anticipated at the outset; initially, only the Bureau of Treasury (BTr) requirements were identified and met. Additionally, a recent update (November 2024) regarding MDS Accounts for Foreign-Assisted Projects (FAP) stipulates that the account type to be opened must be Regular-FAPs-Loan and Grant/Donation Proceeds, with end-of-year NCA lapsing. However, the project had already opened a Trust Account-type in July 2024. In response, the Implementing Partner coordinated with the respective offices and organized small group meetings to ensure compliance with the requirements and clarify the procedures. Additionally, efforts are being made to create a simplified process flow chart (step-by-step procedure) and a list of requirements for opening MDS accounts for FAPs, based on NBC581.</w:t>
            </w:r>
          </w:p>
          <w:p>
            <w:pPr/>
            <w:r>
              <w:rPr/>
              <w:t xml:space="preserve"/>
            </w:r>
          </w:p>
          <w:p>
            <w:pPr/>
            <w:r>
              <w:rPr/>
              <w:t xml:space="preserve">While concurrently waiting for the feedback on the Joint Memorandum Circular, the legal instrument institutionalizing the Project Board, the Implementing Partner commenced the processing of the Free, Prior, and Informed Consent (FPIC) as part of the pre-implementation activities. Other preparatory activities conducted by the Implementing Partner are project re-orientation and briefing to the stakeholders.</w:t>
            </w:r>
          </w:p>
          <w:p>
            <w:pPr/>
            <w:r>
              <w:rPr/>
              <w:t xml:space="preserve">----</w:t>
            </w:r>
          </w:p>
          <w:p>
            <w:pPr/>
            <w:r>
              <w:rPr/>
              <w:t xml:space="preserve"/>
            </w:r>
          </w:p>
        </w:tc>
      </w:tr>
      <w:tr>
        <w:trPr/>
        <w:tc>
          <w:tcPr>
            <w:tcW w:w="5000" w:type="dxa"/>
            <w:gridSpan w:val="1"/>
            <w:noWrap/>
          </w:tcPr>
          <w:p>
            <w:pPr/>
            <w:r>
              <w:rPr>
                <w:b w:val="1"/>
                <w:bCs w:val="1"/>
              </w:rPr>
              <w:t xml:space="preserve">Other Partners</w:t>
            </w:r>
          </w:p>
        </w:tc>
        <w:tc>
          <w:tcPr>
            <w:tcW w:w="10000" w:type="dxa"/>
            <w:gridSpan w:val="1"/>
            <w:noWrap/>
          </w:tcPr>
          <w:p>
            <w:pPr/>
            <w:r>
              <w:rPr/>
              <w:t xml:space="preserve"/>
            </w:r>
          </w:p>
          <w:p>
            <w:pPr/>
            <w:r>
              <w:rPr/>
              <w:t xml:space="preserve">----</w:t>
            </w:r>
          </w:p>
          <w:p>
            <w:pPr/>
            <w:r>
              <w:rPr/>
              <w:t xml:space="preserve"/>
            </w:r>
          </w:p>
        </w:tc>
      </w:tr>
    </w:tbl>
    <w:p>
      <w:pPr>
        <w:sectPr>
          <w:pgSz w:orient="portrait" w:w="11905.511811023622" w:h="16837.79527559055"/>
          <w:pgMar w:top="500" w:right="500" w:bottom="500" w:left="500" w:header="720" w:footer="720" w:gutter="0"/>
          <w:cols w:num="1" w:space="720"/>
        </w:sectPr>
      </w:pPr>
    </w:p>
    <w:p>
      <w:pPr>
        <w:pStyle w:val="Heading1"/>
      </w:pPr>
      <w:bookmarkStart w:id="10" w:name="_Toc10"/>
      <w:r>
        <w:t>Minor Amendments</w:t>
      </w:r>
      <w:bookmarkEnd w:id="10"/>
    </w:p>
    <w:p>
      <w:pPr>
        <w:spacing w:before="0" w:after="0"/>
      </w:pPr>
      <w:r>
        <w:rPr/>
        <w:t xml:space="preserve"/>
      </w:r>
    </w:p>
    <w:p>
      <w:pPr/>
      <w:r>
        <w:rPr/>
        <w:t xml:space="preserve">Minor amendments are changes to the project design or implementation that do not have significant impact on the project objectives or scope, or an increase of the GEF project financing up to 5% as described in Annex 9 of the </w:t>
      </w:r>
      <w:hyperlink r:id="rId9" w:history="1">
        <w:r>
          <w:rPr/>
          <w:t xml:space="preserve">GEF Project and Program Cycle Policy Guidelines</w:t>
        </w:r>
      </w:hyperlink>
      <w:r>
        <w:rPr/>
        <w:t xml:space="preserve">.</w:t>
      </w:r>
    </w:p>
    <w:p>
      <w:pPr/>
      <w:r>
        <w:rPr>
          <w:b w:val="1"/>
          <w:bCs w:val="1"/>
        </w:rPr>
        <w:t xml:space="preserve">CO Programme Officer:</w:t>
      </w:r>
      <w:r>
        <w:rPr/>
        <w:t xml:space="preserve"> Please mark each category for which a minor amendment occurred during this reporting period (1 July 2024- 30 June 2025). </w:t>
      </w:r>
    </w:p>
    <w:p>
      <w:pPr/>
      <w:r>
        <w:rPr/>
        <w:t xml:space="preserve">For each category that is marked, please provide a brief description of the change that occurred in the associated text box. You may attach supporting documentation, as appropriate.</w:t>
      </w:r>
    </w:p>
    <w:p>
      <w:pPr/>
      <w:r>
        <w:rPr/>
        <w:t xml:space="preserve">The purpose of this section is to capture adaptive management and measure project proactiveness, an indicator outlined in paragraph 70 of the GEF-8 Policy Directions available </w:t>
      </w:r>
      <w:hyperlink r:id="rId10" w:history="1">
        <w:r>
          <w:rPr/>
          <w:t xml:space="preserve">here.</w:t>
        </w:r>
      </w:hyperlink>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A) Results Framework</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the 'Results framework'</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 Components and cost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'Components and cost'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C) Institutional and implementation arrangements</w:t>
            </w:r>
          </w:p>
        </w:tc>
      </w:tr>
      <w:tr>
        <w:trPr/>
        <w:tc>
          <w:tcPr>
            <w:tcW w:w="10000" w:type="dxa"/>
            <w:gridSpan w:val="1"/>
            <w:noWrap/>
          </w:tcPr>
          <w:p>
            <w:pPr/>
            <w:r>
              <w:rPr/>
              <w:t xml:space="preserve">Yes</w:t>
            </w:r>
          </w:p>
        </w:tc>
      </w:tr>
      <w:tr>
        <w:trPr/>
        <w:tc>
          <w:tcPr>
            <w:tcW w:w="10000" w:type="dxa"/>
            <w:shd w:val="clear" w:fill="#D9D9D9"/>
            <w:noWrap/>
          </w:tcPr>
          <w:p>
            <w:pPr/>
            <w:r>
              <w:rPr>
                <w:b w:val="1"/>
                <w:bCs w:val="1"/>
              </w:rPr>
              <w:t xml:space="preserve">Provide a description of the change(s) to 'Institutional and implementation arrangements'</w:t>
            </w:r>
          </w:p>
        </w:tc>
      </w:tr>
      <w:tr>
        <w:trPr/>
        <w:tc>
          <w:tcPr>
            <w:tcW w:w="10000" w:type="dxa"/>
            <w:gridSpan w:val="1"/>
            <w:noWrap/>
          </w:tcPr>
          <w:p>
            <w:pPr/>
            <w:r>
              <w:rPr/>
              <w:t xml:space="preserve">During the inception workshop, the organization structure was simplified to avoid confusion. This resulted in the merging of the National TWG and the Regional or CDORMC site TWG into the Inter-Agency Technical Working Group (IATWG).</w:t>
            </w:r>
          </w:p>
          <w:p>
            <w:pPr/>
            <w:r>
              <w:rPr/>
              <w:t xml:space="preserve"/>
            </w:r>
          </w:p>
          <w:p>
            <w:pPr/>
            <w:r>
              <w:rPr/>
              <w:t xml:space="preserve">As per the instructions of the Department of Agriculture’s Legal Office, a Joint Memorandum Circular will be issued for the institutionalization of the Project Board (PB) and the Inter-Agency Technical Working Group (IATWG). Accordingly, summarized below is the latest composition of the PB and IATWG, which is currently under review of the concerned national government agencies:</w:t>
            </w:r>
          </w:p>
          <w:p>
            <w:pPr/>
            <w:r>
              <w:rPr/>
              <w:t xml:space="preserve"/>
            </w:r>
          </w:p>
          <w:p>
            <w:pPr/>
            <w:r>
              <w:rPr/>
              <w:t xml:space="preserve">A.	Project Board</w:t>
            </w:r>
          </w:p>
          <w:p>
            <w:pPr/>
            <w:r>
              <w:rPr/>
              <w:t xml:space="preserve"/>
            </w:r>
          </w:p>
          <w:p>
            <w:pPr/>
            <w:r>
              <w:rPr/>
              <w:t xml:space="preserve">Chairperson: 	DA-Undersecretary for Special Concerns and Official Development</w:t>
            </w:r>
          </w:p>
          <w:p>
            <w:pPr/>
            <w:r>
              <w:rPr/>
              <w:t xml:space="preserve">Assistance (ODA)</w:t>
            </w:r>
          </w:p>
          <w:p>
            <w:pPr/>
            <w:r>
              <w:rPr/>
              <w:t xml:space="preserve"/>
            </w:r>
          </w:p>
          <w:p>
            <w:pPr/>
            <w:r>
              <w:rPr/>
              <w:t xml:space="preserve">Co-Chairperson: DA-Undersecretary for Operations and Agri-Fisheries Mechanization and</w:t>
            </w:r>
          </w:p>
          <w:p>
            <w:pPr/>
            <w:r>
              <w:rPr/>
              <w:t xml:space="preserve">Rural Credit;</w:t>
            </w:r>
          </w:p>
          <w:p>
            <w:pPr/>
            <w:r>
              <w:rPr/>
              <w:t xml:space="preserve">Chairperson, National Convergence Initiative</w:t>
            </w:r>
          </w:p>
          <w:p>
            <w:pPr/>
            <w:r>
              <w:rPr/>
              <w:t xml:space="preserve"/>
            </w:r>
          </w:p>
          <w:p>
            <w:pPr/>
            <w:r>
              <w:rPr/>
              <w:t xml:space="preserve">Members: Department of Environment and Natural Resources (DENR)</w:t>
            </w:r>
          </w:p>
          <w:p>
            <w:pPr/>
            <w:r>
              <w:rPr/>
              <w:t xml:space="preserve">National Commission on Indigenous Peoples (NCIP)</w:t>
            </w:r>
          </w:p>
          <w:p>
            <w:pPr/>
            <w:r>
              <w:rPr/>
              <w:t xml:space="preserve">Department of Economy, Planning and Development (DEPDev)</w:t>
            </w:r>
          </w:p>
          <w:p>
            <w:pPr/>
            <w:r>
              <w:rPr/>
              <w:t xml:space="preserve">Department of Human Settlements and Urban Development (DHSUD)</w:t>
            </w:r>
          </w:p>
          <w:p>
            <w:pPr/>
            <w:r>
              <w:rPr/>
              <w:t xml:space="preserve">Cagayan De Oro River Basin Management Council (CDORBMC)</w:t>
            </w:r>
          </w:p>
          <w:p>
            <w:pPr/>
            <w:r>
              <w:rPr/>
              <w:t xml:space="preserve">Provincial Local Government of Bukidnon</w:t>
            </w:r>
          </w:p>
          <w:p>
            <w:pPr/>
            <w:r>
              <w:rPr/>
              <w:t xml:space="preserve">Indigenous Peoples and Community Based Forest Management</w:t>
            </w:r>
          </w:p>
          <w:p>
            <w:pPr/>
            <w:r>
              <w:rPr/>
              <w:t xml:space="preserve">(IP &amp; CBFM) Representative</w:t>
            </w:r>
          </w:p>
          <w:p>
            <w:pPr/>
            <w:r>
              <w:rPr/>
              <w:t xml:space="preserve">United Nations Development Programme (UNDP)</w:t>
            </w:r>
          </w:p>
          <w:p>
            <w:pPr/>
            <w:r>
              <w:rPr/>
              <w:t xml:space="preserve"/>
            </w:r>
          </w:p>
          <w:p>
            <w:pPr/>
            <w:r>
              <w:rPr/>
              <w:t xml:space="preserve">Relative to the inception workshop, notable changes is the finalization of the co-chair and membership has been elevated to the Department level rather than specific bureaus and offices.</w:t>
            </w:r>
          </w:p>
          <w:p>
            <w:pPr/>
            <w:r>
              <w:rPr/>
              <w:t xml:space="preserve"/>
            </w:r>
          </w:p>
          <w:p>
            <w:pPr/>
            <w:r>
              <w:rPr/>
              <w:t xml:space="preserve">B.	IATWG</w:t>
            </w:r>
          </w:p>
          <w:p>
            <w:pPr/>
            <w:r>
              <w:rPr/>
              <w:t xml:space="preserve">Lead: 	DA-Bureau of Soils and Water Management</w:t>
            </w:r>
          </w:p>
          <w:p>
            <w:pPr/>
            <w:r>
              <w:rPr/>
              <w:t xml:space="preserve"/>
            </w:r>
          </w:p>
          <w:p>
            <w:pPr/>
            <w:r>
              <w:rPr/>
              <w:t xml:space="preserve">Members: DA-Agricultural Training Institute</w:t>
            </w:r>
          </w:p>
          <w:p>
            <w:pPr/>
            <w:r>
              <w:rPr/>
              <w:t xml:space="preserve">DA-Special Projects Coordination and Management Division</w:t>
            </w:r>
          </w:p>
          <w:p>
            <w:pPr/>
            <w:r>
              <w:rPr/>
              <w:t xml:space="preserve">DA-Climate Resilient Agriculture Office</w:t>
            </w:r>
          </w:p>
          <w:p>
            <w:pPr/>
            <w:r>
              <w:rPr/>
              <w:t xml:space="preserve">DA-Bureau of Agricultural Research</w:t>
            </w:r>
          </w:p>
          <w:p>
            <w:pPr/>
            <w:r>
              <w:rPr/>
              <w:t xml:space="preserve">DA-Policy Research Service</w:t>
            </w:r>
          </w:p>
          <w:p>
            <w:pPr/>
            <w:r>
              <w:rPr/>
              <w:t xml:space="preserve">DA-Special Area for Agricultural Development</w:t>
            </w:r>
          </w:p>
          <w:p>
            <w:pPr/>
            <w:r>
              <w:rPr/>
              <w:t xml:space="preserve">DA-Kabuhayan at Kaunlaran ng Kababayang Katutubo Program</w:t>
            </w:r>
          </w:p>
          <w:p>
            <w:pPr/>
            <w:r>
              <w:rPr/>
              <w:t xml:space="preserve">DA-Regional Field Office X</w:t>
            </w:r>
          </w:p>
          <w:p>
            <w:pPr/>
            <w:r>
              <w:rPr/>
              <w:t xml:space="preserve">DA-Legal Service</w:t>
            </w:r>
          </w:p>
          <w:p>
            <w:pPr/>
            <w:r>
              <w:rPr/>
              <w:t xml:space="preserve">DENR-Foreign-Assisted and Special Projects Service</w:t>
            </w:r>
          </w:p>
          <w:p>
            <w:pPr/>
            <w:r>
              <w:rPr/>
              <w:t xml:space="preserve">DENR-Biodiversity Management Bureau</w:t>
            </w:r>
          </w:p>
          <w:p>
            <w:pPr/>
            <w:r>
              <w:rPr/>
              <w:t xml:space="preserve">DENR-Forest Management Bureau</w:t>
            </w:r>
          </w:p>
          <w:p>
            <w:pPr/>
            <w:r>
              <w:rPr/>
              <w:t xml:space="preserve">DENR-River Basin Control Office</w:t>
            </w:r>
          </w:p>
          <w:p>
            <w:pPr/>
            <w:r>
              <w:rPr/>
              <w:t xml:space="preserve">DENR-Region Office X</w:t>
            </w:r>
          </w:p>
          <w:p>
            <w:pPr/>
            <w:r>
              <w:rPr/>
              <w:t xml:space="preserve">National Commission on Indigenous Peoples</w:t>
            </w:r>
          </w:p>
          <w:p>
            <w:pPr/>
            <w:r>
              <w:rPr/>
              <w:t xml:space="preserve">NCIP Region X</w:t>
            </w:r>
          </w:p>
          <w:p>
            <w:pPr/>
            <w:r>
              <w:rPr/>
              <w:t xml:space="preserve">National Economic and Development Authority</w:t>
            </w:r>
          </w:p>
          <w:p>
            <w:pPr/>
            <w:r>
              <w:rPr/>
              <w:t xml:space="preserve">NEDA Region X</w:t>
            </w:r>
          </w:p>
          <w:p>
            <w:pPr/>
            <w:r>
              <w:rPr/>
              <w:t xml:space="preserve">Department of the Interior and Local Government</w:t>
            </w:r>
          </w:p>
          <w:p>
            <w:pPr/>
            <w:r>
              <w:rPr/>
              <w:t xml:space="preserve">DILG Region X</w:t>
            </w:r>
          </w:p>
          <w:p>
            <w:pPr/>
            <w:r>
              <w:rPr/>
              <w:t xml:space="preserve">DHSUD Region X</w:t>
            </w:r>
          </w:p>
          <w:p>
            <w:pPr/>
            <w:r>
              <w:rPr/>
              <w:t xml:space="preserve">Department of Agrarian Reform</w:t>
            </w:r>
          </w:p>
          <w:p>
            <w:pPr/>
            <w:r>
              <w:rPr/>
              <w:t xml:space="preserve">Department of Science and Technology</w:t>
            </w:r>
          </w:p>
          <w:p>
            <w:pPr/>
            <w:r>
              <w:rPr/>
              <w:t xml:space="preserve">Philippine Statistics Authority</w:t>
            </w:r>
          </w:p>
          <w:p>
            <w:pPr/>
            <w:r>
              <w:rPr/>
              <w:t xml:space="preserve">Cagayan De Oro River Basin Management Council</w:t>
            </w:r>
          </w:p>
          <w:p>
            <w:pPr/>
            <w:r>
              <w:rPr/>
              <w:t xml:space="preserve">Provincial Local Government of Bukidnon</w:t>
            </w:r>
          </w:p>
          <w:p>
            <w:pPr/>
            <w:r>
              <w:rPr/>
              <w:t xml:space="preserve">Samdhana Institute</w:t>
            </w:r>
          </w:p>
          <w:p>
            <w:pPr/>
            <w:r>
              <w:rPr/>
              <w:t xml:space="preserve">Haribon Foundation</w:t>
            </w:r>
          </w:p>
          <w:p>
            <w:pPr/>
            <w:r>
              <w:rPr/>
              <w:t xml:space="preserve"/>
            </w:r>
          </w:p>
          <w:p>
            <w:pPr/>
            <w:r>
              <w:rPr/>
              <w:t xml:space="preserve">C.	Project Management Unit</w:t>
            </w:r>
          </w:p>
          <w:p>
            <w:pPr/>
            <w:r>
              <w:rPr/>
              <w:t xml:space="preserve">National Project Director:  Director, DA-BSWM</w:t>
            </w:r>
          </w:p>
          <w:p>
            <w:pPr/>
            <w:r>
              <w:rPr/>
              <w:t xml:space="preserve"/>
            </w:r>
          </w:p>
          <w:p>
            <w:pPr/>
            <w:r>
              <w:rPr/>
              <w:t xml:space="preserve">Project Focal Office	  :   DA-Bureau of Soils and Water Management (DA-BSWM)</w:t>
            </w:r>
          </w:p>
          <w:p>
            <w:pPr/>
            <w:r>
              <w:rPr/>
              <w:t xml:space="preserve"/>
            </w:r>
          </w:p>
          <w:p>
            <w:pPr/>
            <w:r>
              <w:rPr/>
              <w:t xml:space="preserve">Project Focal Person	 :   Division Chief, BSWM-Soil Conservation and</w:t>
            </w:r>
          </w:p>
          <w:p>
            <w:pPr/>
            <w:r>
              <w:rPr/>
              <w:t xml:space="preserve">Management Division</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D) Financial management</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'Financial Management'</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E) Implementation schedule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'Implementation schedule'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F) Executing Entity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G) Executing Entity Category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'Executing Entity Category'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H) Minor project objective change</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'minor project objective change'</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I) Safeguards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'Safeguards'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J) Risk Analysis</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'Risk Analysis'</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K) Increase of GEF project financing up to 5%</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 to GEF project financing up to 5%</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L) Co-financing</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'Co-financing'</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M) Location of project activity</w:t>
            </w:r>
          </w:p>
        </w:tc>
      </w:tr>
      <w:tr>
        <w:trPr/>
        <w:tc>
          <w:tcPr>
            <w:tcW w:w="10000" w:type="dxa"/>
            <w:gridSpan w:val="1"/>
            <w:noWrap/>
          </w:tcPr>
          <w:p>
            <w:pPr/>
            <w:r>
              <w:rPr/>
              <w:t xml:space="preserve">No</w:t>
            </w:r>
          </w:p>
        </w:tc>
      </w:tr>
      <w:tr>
        <w:trPr/>
        <w:tc>
          <w:tcPr>
            <w:tcW w:w="10000" w:type="dxa"/>
            <w:shd w:val="clear" w:fill="#D9D9D9"/>
            <w:noWrap/>
          </w:tcPr>
          <w:p>
            <w:pPr/>
            <w:r>
              <w:rPr>
                <w:b w:val="1"/>
                <w:bCs w:val="1"/>
              </w:rPr>
              <w:t xml:space="preserve">Provide a description of the change(s) to project location activity</w:t>
            </w:r>
          </w:p>
        </w:tc>
      </w:tr>
      <w:tr>
        <w:trPr/>
        <w:tc>
          <w:tcPr>
            <w:tcW w:w="10000" w:type="dxa"/>
            <w:gridSpan w:val="1"/>
            <w:noWrap/>
          </w:tcPr>
          <w:p>
            <w:pPr/>
            <w:r>
              <w:rPr>
                <w:i w:val="1"/>
                <w:iCs w:val="1"/>
              </w:rPr>
              <w:t xml:space="preserve">(not set or 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Please provide a description of other types of minor amendments that do not fall under any of the above categories. For example, minor changes to the project's Gender Action Plan and/or gender activities can be captured here.</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1" w:name="_Toc11"/>
      <w:r>
        <w:t>Gender</w:t>
      </w:r>
      <w:bookmarkEnd w:id="11"/>
    </w:p>
    <w:p>
      <w:pPr>
        <w:pStyle w:val="Heading2"/>
      </w:pPr>
      <w:bookmarkStart w:id="12" w:name="_Toc12"/>
      <w:r>
        <w:t>Progress in Advancing Gender Equality and Women's Empowerment</w:t>
      </w:r>
      <w:bookmarkEnd w:id="12"/>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trPr/>
        <w:tc>
          <w:tcPr>
            <w:tcW w:w="10000" w:type="dxa"/>
            <w:noWrap/>
          </w:tcPr>
          <w:p>
            <w:pPr>
              <w:spacing w:before="0" w:after="0"/>
            </w:pPr>
            <w:r>
              <w:rPr/>
              <w:t xml:space="preserve">Annex 12 Gender Analysis and Gender Action Plan 1224-2021.docx</w:t>
            </w:r>
          </w:p>
          <w:p>
            <w:pP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gridSpan w:val="1"/>
            <w:noWrap/>
          </w:tcPr>
          <w:p>
            <w:pPr/>
            <w:r>
              <w:rPr>
                <w:b w:val="1"/>
                <w:bCs w:val="1"/>
              </w:rPr>
              <w:t xml:space="preserve">Quantum Gender Marker Rating</w:t>
            </w:r>
          </w:p>
        </w:tc>
      </w:tr>
      <w:tr>
        <w:trPr/>
        <w:tc>
          <w:tcPr>
            <w:tcW w:w="10000" w:type="dxa"/>
            <w:noWrap/>
          </w:tcPr>
          <w:p>
            <w:pPr/>
            <w:r>
              <w:rPr>
                <w:b w:val="1"/>
                <w:bCs w:val="1"/>
              </w:rPr>
              <w:t xml:space="preserve">GEN1: </w:t>
            </w:r>
            <w:r>
              <w:rPr/>
              <w:t xml:space="preserve">Some contribution to gender equality</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indicate in which results areas the project is contributing to gender equality (you may select more than one results area, or select not applicable):</w:t>
            </w:r>
          </w:p>
        </w:tc>
      </w:tr>
      <w:tr>
        <w:trPr/>
        <w:tc>
          <w:tcPr>
            <w:tcW w:w="10000" w:type="dxa"/>
            <w:gridSpan w:val="1"/>
            <w:noWrap/>
          </w:tcPr>
          <w:p>
            <w:pPr/>
            <w:r>
              <w:rPr/>
              <w:t xml:space="preserve">Contributing to closing gender gaps in access to and control over resources: No</w:t>
            </w:r>
          </w:p>
        </w:tc>
      </w:tr>
      <w:tr>
        <w:trPr/>
        <w:tc>
          <w:tcPr>
            <w:tcW w:w="10000" w:type="dxa"/>
            <w:gridSpan w:val="1"/>
            <w:noWrap/>
          </w:tcPr>
          <w:p>
            <w:pPr/>
            <w:r>
              <w:rPr/>
              <w:t xml:space="preserve">Improving the participation and decision-making of women in natural resource governance: No</w:t>
            </w:r>
          </w:p>
        </w:tc>
      </w:tr>
      <w:tr>
        <w:trPr/>
        <w:tc>
          <w:tcPr>
            <w:tcW w:w="10000" w:type="dxa"/>
            <w:gridSpan w:val="1"/>
            <w:noWrap/>
          </w:tcPr>
          <w:p>
            <w:pPr/>
            <w:r>
              <w:rPr/>
              <w:t xml:space="preserve">Targeting socio-economic benefits and services for women: Yes</w:t>
            </w:r>
          </w:p>
        </w:tc>
      </w:tr>
      <w:tr>
        <w:trPr/>
        <w:tc>
          <w:tcPr>
            <w:tcW w:w="10000" w:type="dxa"/>
            <w:gridSpan w:val="1"/>
            <w:noWrap/>
          </w:tcPr>
          <w:p>
            <w:pPr/>
            <w:r>
              <w:rPr/>
              <w:t xml:space="preserve">Not applicable: No</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Please specify results achieved this reporting period that focus on increasing gender equality and the empowerment of women.</w:t>
            </w:r>
          </w:p>
          <w:p>
            <w:pPr/>
            <w:r>
              <w:rPr>
                <w:b w:val="1"/>
                <w:bCs w:val="1"/>
              </w:rPr>
              <w:t xml:space="preserve"/>
            </w:r>
          </w:p>
          <w:p>
            <w:pPr/>
            <w:r>
              <w:rPr>
                <w:b w:val="1"/>
                <w:bCs w:val="1"/>
              </w:rPr>
              <w:t xml:space="preserve">Please explain how the results reported addressed the different needs of men or women, changed norms, values, and power structures, and/or contributed to transforming or challenging gender inequalities and discrimination.</w:t>
            </w:r>
          </w:p>
        </w:tc>
      </w:tr>
      <w:tr>
        <w:trPr/>
        <w:tc>
          <w:tcPr>
            <w:tcW w:w="10000" w:type="dxa"/>
            <w:gridSpan w:val="1"/>
            <w:noWrap/>
          </w:tcPr>
          <w:p>
            <w:pPr/>
            <w:r>
              <w:rPr/>
              <w:t xml:space="preserve">Not applicable</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4) Please describe how work to advance gender equality and women's empowerment enhanced the project's environmental and/or resilience outcomes.</w:t>
            </w:r>
          </w:p>
        </w:tc>
      </w:tr>
      <w:tr>
        <w:trPr/>
        <w:tc>
          <w:tcPr>
            <w:tcW w:w="10000" w:type="dxa"/>
            <w:gridSpan w:val="1"/>
            <w:noWrap/>
          </w:tcPr>
          <w:p>
            <w:pPr/>
            <w:r>
              <w:rPr/>
              <w:t xml:space="preserve">Not applicabe</w:t>
            </w:r>
          </w:p>
        </w:tc>
      </w:tr>
    </w:tbl>
    <w:p>
      <w:pPr>
        <w:sectPr>
          <w:pgSz w:orient="portrait" w:w="11905.511811023622" w:h="16837.79527559055"/>
          <w:pgMar w:top="1440" w:right="1440" w:bottom="1440" w:left="1440" w:header="720" w:footer="720" w:gutter="0"/>
          <w:cols w:num="1" w:space="720"/>
        </w:sectPr>
      </w:pPr>
    </w:p>
    <w:p>
      <w:pPr>
        <w:pStyle w:val="Heading1"/>
      </w:pPr>
      <w:bookmarkStart w:id="13" w:name="_Toc13"/>
      <w:r>
        <w:t>Risk Management</w:t>
      </w:r>
      <w:bookmarkEnd w:id="13"/>
    </w:p>
    <w:p>
      <w:pPr>
        <w:pStyle w:val="Heading2"/>
      </w:pPr>
      <w:bookmarkStart w:id="14" w:name="_Toc14"/>
      <w:r>
        <w:t>A) Overall Risk Management</w:t>
      </w:r>
      <w:bookmarkEnd w:id="14"/>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pPr/>
            <w:r>
              <w:rPr>
                <w:b w:val="1"/>
                <w:bCs w:val="1"/>
              </w:rPr>
              <w:t xml:space="preserve"/>
            </w:r>
          </w:p>
        </w:tc>
      </w:tr>
      <w:tr>
        <w:trPr/>
        <w:tc>
          <w:tcPr>
            <w:tcW w:w="10000" w:type="dxa"/>
            <w:gridSpan w:val="1"/>
            <w:noWrap/>
          </w:tcPr>
          <w:p>
            <w:pPr/>
            <w:r>
              <w:rPr/>
              <w:t xml:space="preserve">The project risk register of this project includes 18 risks to the project including safeguards. The RTA recommends adding high risks linked with the delayed financial delivery, as well as associated mitigation measures in the current risk register.</w:t>
            </w:r>
          </w:p>
          <w:p>
            <w:pPr/>
            <w:r>
              <w:rPr/>
              <w:t xml:space="preserve"/>
            </w:r>
          </w:p>
          <w:p>
            <w:pPr/>
            <w:r>
              <w:rPr/>
              <w:t xml:space="preserve">In terms of safeguards, the risk carried by the project is substantial.</w:t>
            </w:r>
          </w:p>
          <w:p>
            <w:pPr/>
            <w:r>
              <w:rPr/>
              <w:t xml:space="preserve">The Social and Environment Screening recommended the following:</w:t>
            </w:r>
          </w:p>
          <w:p>
            <w:pPr/>
            <w:r>
              <w:rPr/>
              <w:t xml:space="preserve">•	A Gender analysis and action Plan, developed during PPG</w:t>
            </w:r>
          </w:p>
          <w:p>
            <w:pPr/>
            <w:r>
              <w:rPr/>
              <w:t xml:space="preserve">•	A Stakeholder analysis and engagement plan, developed during PPG</w:t>
            </w:r>
          </w:p>
          <w:p>
            <w:pPr/>
            <w:r>
              <w:rPr/>
              <w:t xml:space="preserve">•	An ESMF (Environmental and Social Management Framework), including FPIC and an Indigenous Peoples Plan, as well as a project level ESIA, developed during the PPG;</w:t>
            </w:r>
          </w:p>
          <w:p>
            <w:pPr/>
            <w:r>
              <w:rPr/>
              <w:t xml:space="preserve"/>
            </w:r>
          </w:p>
          <w:p>
            <w:pPr/>
            <w:r>
              <w:rPr/>
              <w:t xml:space="preserve">The following need to be undertaken once the project activities start:</w:t>
            </w:r>
          </w:p>
          <w:p>
            <w:pPr/>
            <w:r>
              <w:rPr/>
              <w:t xml:space="preserve">•	Since the project was designed, there might be developments affecting the risk screening, so there would be a need to revise/re-screen the SESP and transition it to the new UNDP format;</w:t>
            </w:r>
          </w:p>
          <w:p>
            <w:pPr/>
            <w:r>
              <w:rPr/>
              <w:t xml:space="preserve">•	Similarly, to review the ESMF, by reconsider risk categorisation, and identifying the need for additional frameworks and safeguards approaches;</w:t>
            </w:r>
          </w:p>
          <w:p>
            <w:pPr/>
            <w:r>
              <w:rPr/>
              <w:t xml:space="preserve">•	Consider the need for the ESIA and ESMP, based on these updated screenings</w:t>
            </w:r>
          </w:p>
          <w:p>
            <w:pPr/>
            <w:r>
              <w:rPr/>
              <w:t xml:space="preserve">•	A SESA;</w:t>
            </w:r>
          </w:p>
          <w:p>
            <w:pPr/>
            <w:r>
              <w:rPr/>
              <w:t xml:space="preserve">•	Develop the Grievance Redress Mechanism (GRM); and</w:t>
            </w:r>
          </w:p>
          <w:p>
            <w:pPr/>
            <w:r>
              <w:rPr/>
              <w:t xml:space="preserve">•	Undertake appropriate disclosures for a substantial level risk project.</w:t>
            </w:r>
          </w:p>
          <w:p>
            <w:pPr/>
            <w:r>
              <w:rPr/>
              <w:t xml:space="preserve"/>
            </w:r>
          </w:p>
          <w:p>
            <w:pPr/>
            <w:r>
              <w:rPr/>
              <w:t xml:space="preserve">Overall, the project is therefore considered on track with UNDP/GEF safeguards requirements, given that activities have not started.</w:t>
            </w:r>
          </w:p>
          <w:p>
            <w:pPr/>
            <w:r>
              <w:rPr/>
              <w:t xml:space="preserve"/>
            </w:r>
          </w:p>
          <w:p>
            <w:pPr/>
            <w:r>
              <w:rPr/>
              <w:t xml:space="preserve">The RTA recommends adding a high risk of financial delivery in the project’s risk register and to include the associated mitigation activities.</w:t>
            </w:r>
          </w:p>
          <w:p>
            <w:pPr/>
            <w:r>
              <w:rPr/>
              <w:t xml:space="preserve"/>
            </w:r>
          </w:p>
          <w:p>
            <w:pPr/>
            <w:r>
              <w:rPr/>
              <w:t xml:space="preserve">The RTA and the SES Technical advisor should review the scope of the ToR for the safeguards consultant for the project. They should also be engaged in reviewing the final documents following re-screening, and will support the scoping of the SESA and the ToR for the GRM. Further, safeguards work needs to start as soon as the project starts and be implemented in sync with the corresponding activities.</w:t>
            </w:r>
          </w:p>
          <w:p>
            <w:pPr/>
            <w:r>
              <w:rPr/>
              <w:t xml:space="preserve"/>
            </w:r>
          </w:p>
          <w:p>
            <w:pPr/>
            <w:r>
              <w:rPr/>
              <w:t xml:space="preserve">This project operates in compliance with the UNFP-GEF Social and Environmental Safeguards policies given that activities have not started.</w:t>
            </w:r>
          </w:p>
        </w:tc>
      </w:tr>
    </w:tbl>
    <w:p>
      <w:pPr>
        <w:pStyle w:val="Heading2"/>
      </w:pPr>
      <w:bookmarkStart w:id="15" w:name="_Toc15"/>
      <w:r>
        <w:t>B) SES Implementation</w:t>
      </w:r>
      <w:bookmarkEnd w:id="15"/>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2b) Provide an update on progress, challenges and outcomes related to stakeholder engagement based on the description in the Stakeholder Engagement Plan or equivalent documentation submitted at CEO Endorsement/Approval.</w:t>
            </w:r>
          </w:p>
        </w:tc>
      </w:tr>
      <w:tr>
        <w:trPr/>
        <w:tc>
          <w:tcPr>
            <w:tcW w:w="10000" w:type="dxa"/>
            <w:gridSpan w:val="1"/>
            <w:noWrap/>
          </w:tcPr>
          <w:p>
            <w:pPr/>
            <w:r>
              <w:rPr/>
              <w:t xml:space="preserve">For this reporting period, the IP—acting on behalf of the PMU—completed the following activities:</w:t>
            </w:r>
          </w:p>
          <w:p>
            <w:pPr/>
            <w:r>
              <w:rPr/>
              <w:t xml:space="preserve">•	Inception Workshop, 16-17 October 2024</w:t>
            </w:r>
          </w:p>
          <w:p>
            <w:pPr/>
            <w:r>
              <w:rPr/>
              <w:t xml:space="preserve">•	Regional Site Visits and Consultative Meetings, February 25-28, 2025. Among the project partners that were visited are the following: DA RFO X; DENR X; and NCIP X.  Exploratory meetings were also held during this period with the CBFM Federation representatives and DA-MIADP for partnerships and complementation.</w:t>
            </w:r>
          </w:p>
          <w:p>
            <w:pPr/>
            <w:r>
              <w:rPr/>
              <w:t xml:space="preserve">•	Dialogues on the Project Account, March 2025. Given the unclear protocols on NBC 581, the IP held a series of consultations with the Bureau of Treasury, Department of Finance, and Land Bank of the Philippines, facilitated by DA-SPCMAD and UNDP. Reclassification of the opened MDS account was also undertaken during this period.</w:t>
            </w:r>
          </w:p>
          <w:p>
            <w:pPr/>
            <w:r>
              <w:rPr/>
              <w:t xml:space="preserve">•	Drafting of the JMC for PB formation, March-June 2025</w:t>
            </w:r>
          </w:p>
          <w:p>
            <w:pPr/>
            <w:r>
              <w:rPr/>
              <w:t xml:space="preserve">•	FGD with LGUs, June 2025. The purpose of this activity is to manage expectations and solicit insights from local partners for refining the targets in light of prospective changes to the baseline data.</w:t>
            </w:r>
          </w:p>
          <w:p>
            <w:pPr/>
            <w:r>
              <w:rPr/>
              <w:t xml:space="preserve">Simultaneously with the above-listed activities, the IP coordinated with relevant agencies and stakeholders to revalidate baseline information. As of now, the IP has not yet received the requested SLM data. Furthermore, the IP prepared the Annual Work and Financial Plan in anticipation of the PMU’s onboarding in the third quarter of 2025.</w:t>
            </w:r>
          </w:p>
          <w:p>
            <w:pPr/>
            <w:r>
              <w:rPr/>
              <w:t xml:space="preserve"/>
            </w:r>
          </w:p>
        </w:tc>
      </w:tr>
    </w:tbl>
    <w:p>
      <w:pPr>
        <w:sectPr>
          <w:pgSz w:orient="portrait" w:w="11905.511811023622" w:h="16837.79527559055"/>
          <w:pgMar w:top="1440" w:right="1440" w:bottom="1440" w:left="1440" w:header="720" w:footer="720" w:gutter="0"/>
          <w:cols w:num="1" w:space="720"/>
        </w:sectPr>
      </w:pPr>
    </w:p>
    <w:p>
      <w:pPr>
        <w:pStyle w:val="Heading1"/>
      </w:pPr>
      <w:bookmarkStart w:id="16" w:name="_Toc16"/>
      <w:r>
        <w:t>Knowledge Management &amp; Communications</w:t>
      </w:r>
      <w:bookmarkEnd w:id="16"/>
    </w:p>
    <w:p>
      <w:pPr>
        <w:spacing w:before="0" w:after="0"/>
      </w:pPr>
      <w:r>
        <w:rPr/>
        <w:t xml:space="preserve"/>
      </w:r>
    </w:p>
    <w:p>
      <w:pPr/>
      <w:r>
        <w:rPr/>
        <w:t xml:space="preserve"> </w:t>
      </w:r>
    </w:p>
    <w:p>
      <w:pPr/>
      <w:r>
        <w:rPr/>
        <w:t xml:space="preserve">The </w:t>
      </w:r>
      <w:r>
        <w:rPr>
          <w:b w:val="1"/>
          <w:bCs w:val="1"/>
        </w:rPr>
        <w:t xml:space="preserve">Project Manager</w:t>
      </w:r>
      <w:r>
        <w:rPr/>
        <w:t xml:space="preserve"> must complete the three questions below.</w:t>
      </w:r>
    </w:p>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1) Please provide progress on the implementation of the project's Knowledge Management approach approved at CEO Endorsement/Approval.  If there is no KM approach/strategy, please comment on how the project is capturing and disseminating best practices and lessons learned.</w:t>
            </w:r>
          </w:p>
          <w:p>
            <w:pPr/>
            <w:r>
              <w:rPr>
                <w:b w:val="1"/>
                <w:bCs w:val="1"/>
              </w:rPr>
              <w:t xml:space="preserve"/>
            </w:r>
          </w:p>
        </w:tc>
      </w:tr>
      <w:tr>
        <w:trPr/>
        <w:tc>
          <w:tcPr>
            <w:tcW w:w="10000" w:type="dxa"/>
            <w:gridSpan w:val="1"/>
            <w:noWrap/>
          </w:tcPr>
          <w:p>
            <w:pPr/>
            <w:r>
              <w:rPr/>
              <w:t xml:space="preserve">Not Applicable. Since the PMU has yet to be engaged, there are no progress in the implementation of the project’s Knowledge and Management approach.  While the IP has its own knowledge and management approach, not all project activities were featured, primarily due to the IP's limited manpower and the simultaneous occurrence of the Bureau’s other activities.</w:t>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2) Please provide URLs specific to this project in the relevant field below.  Please categorize the URLs appropriately (for example: project websites, social media sites, media coverage, etc.)</w:t>
            </w:r>
          </w:p>
        </w:tc>
      </w:tr>
      <w:tr>
        <w:trPr/>
        <w:tc>
          <w:tcPr>
            <w:tcW w:w="10000" w:type="dxa"/>
            <w:gridSpan w:val="1"/>
            <w:noWrap/>
          </w:tcPr>
          <w:p>
            <w:pPr/>
            <w:r>
              <w:rPr/>
              <w:t xml:space="preserve">Reorientation with Stakeholders:</w:t>
            </w:r>
          </w:p>
          <w:p>
            <w:pPr/>
            <w:r>
              <w:rPr/>
              <w:t xml:space="preserve"/>
            </w:r>
          </w:p>
          <w:p>
            <w:pPr/>
            <w:r>
              <w:rPr/>
              <w:t xml:space="preserve">https://www.bswm.da.gov.ph/fostering-meaningful-discourse-the-undp-gef-7-landscape-project/</w:t>
            </w:r>
          </w:p>
          <w:p>
            <w:pPr/>
            <w:r>
              <w:rPr/>
              <w:t xml:space="preserve"/>
            </w:r>
          </w:p>
          <w:p>
            <w:pPr/>
            <w:r>
              <w:rPr/>
              <w:t xml:space="preserve">Social Media : Project Launching of the GEF 7 Landscape Project</w:t>
            </w:r>
          </w:p>
          <w:p>
            <w:pPr/>
            <w:r>
              <w:rPr/>
              <w:t xml:space="preserve"/>
            </w:r>
          </w:p>
          <w:p>
            <w:pPr/>
            <w:r>
              <w:rPr/>
              <w:t xml:space="preserve">https://www.facebook.com/watch/live/?ref=watch_permalink&amp;v=329903289994500</w:t>
            </w:r>
          </w:p>
          <w:p>
            <w:pPr/>
            <w:r>
              <w:rPr/>
              <w:t xml:space="preserve"/>
            </w:r>
          </w:p>
        </w:tc>
      </w:tr>
    </w:tbl>
    <w:tbl>
      <w:tblGrid>
        <w:gridCol w:w="10000" w:type="dxa"/>
      </w:tblGrid>
      <w:tblPr>
        <w:tblW w:w="0" w:type="auto"/>
        <w:tblLayout w:type="autofit"/>
        <w:tblCellMar>
          <w:top w:w="20" w:type="dxa"/>
          <w:left w:w="20" w:type="dxa"/>
          <w:right w:w="20" w:type="dxa"/>
          <w:bottom w:w="20" w:type="dxa"/>
        </w:tblCellMar>
        <w:tblBorders>
          <w:top w:val="single" w:sz="5" w:color="000000"/>
          <w:left w:val="single" w:sz="5" w:color="000000"/>
          <w:right w:val="single" w:sz="5" w:color="000000"/>
          <w:bottom w:val="single" w:sz="5" w:color="000000"/>
          <w:insideH w:val="single" w:sz="5" w:color="000000"/>
          <w:insideV w:val="single" w:sz="5" w:color="000000"/>
        </w:tblBorders>
      </w:tblPr>
      <w:tr>
        <w:trPr/>
        <w:tc>
          <w:tcPr>
            <w:tcW w:w="10000" w:type="dxa"/>
            <w:shd w:val="clear" w:fill="#D9D9D9"/>
            <w:noWrap/>
          </w:tcPr>
          <w:p>
            <w:pPr/>
            <w:r>
              <w:rPr>
                <w:b w:val="1"/>
                <w:bCs w:val="1"/>
              </w:rPr>
              <w:t xml:space="preserve">3) In the PIR platform, please upload any supporting files, including the project's Communications Strategy, photos, videos, stories and other communication/knowledge materials.</w:t>
            </w:r>
          </w:p>
        </w:tc>
      </w:tr>
      <w:tr>
        <w:trPr/>
        <w:tc>
          <w:tcPr>
            <w:tcW w:w="10000" w:type="dxa"/>
            <w:gridSpan w:val="1"/>
            <w:noWrap/>
          </w:tcPr>
          <w:p>
            <w:pPr/>
            <w:r>
              <w:rPr>
                <w:i w:val="1"/>
                <w:iCs w:val="1"/>
              </w:rPr>
              <w:t xml:space="preserve">(not set or not applicable)</w:t>
            </w:r>
          </w:p>
        </w:tc>
      </w:tr>
    </w:tbl>
    <w:p>
      <w:pPr>
        <w:sectPr>
          <w:pgSz w:orient="portrait" w:w="11905.511811023622" w:h="16837.79527559055"/>
          <w:pgMar w:top="1440" w:right="1440" w:bottom="1440" w:left="1440" w:header="720" w:footer="720" w:gutter="0"/>
          <w:cols w:num="1" w:space="720"/>
        </w:sectPr>
      </w:pPr>
    </w:p>
    <w:p>
      <w:pPr>
        <w:pStyle w:val="Heading1"/>
      </w:pPr>
      <w:bookmarkStart w:id="17" w:name="_Toc17"/>
      <w:r>
        <w:t>Annex - Ratings Definitions</w:t>
      </w:r>
      <w:bookmarkEnd w:id="17"/>
    </w:p>
    <w:p>
      <w:pPr/>
      <w:r>
        <w:rPr>
          <w:b w:val="1"/>
          <w:bCs w:val="1"/>
        </w:rPr>
        <w:t xml:space="preserve">Development Objective Progress Ratings Definitions</w:t>
      </w:r>
    </w:p>
    <w:p>
      <w:pPr/>
      <w:r>
        <w:rPr/>
        <w:t xml:space="preserve">(HS) Highly Satisfactory: Project is on track to exceed its end-of-project targets by project closure. The project can be presented as 'outstanding practice'.</w:t>
      </w:r>
    </w:p>
    <w:p>
      <w:pPr/>
      <w:r>
        <w:rPr/>
        <w:t xml:space="preserve">(S) Satisfactory: Project is on track to achieve its end-of-project targets by project closure and any minor challenges are being addressed through an adaptive management plan. The project can be presented as 'good practice'.</w:t>
      </w:r>
    </w:p>
    <w:p>
      <w:pPr/>
      <w:r>
        <w:rPr/>
        <w:t xml:space="preserve">(MS) Moderately Satisfactory: Project is on track to achieve its end-of-project targets by project closure and minor challenges can be addressed if an adaptive management plan is promptly put in place.</w:t>
      </w:r>
    </w:p>
    <w:p>
      <w:pPr/>
      <w:r>
        <w:rPr/>
        <w:t xml:space="preserve">(MU) Moderately Unsatisfactory: Project is off track and is expected to only partially achieve its end-of-project targets by project closure. Project results might still be achieved by project closure if adaptive management is undertaken immediately.</w:t>
      </w:r>
    </w:p>
    <w:p>
      <w:pPr/>
      <w:r>
        <w:rPr/>
        <w:t xml:space="preserve">(U) Unsatisfactory: Project is off track and is expected to only partially achieve its end-of-project targets by project closure. Project results might be partially achieved by project closure if major adaptive management is undertaken immediately.</w:t>
      </w:r>
    </w:p>
    <w:p>
      <w:pPr/>
      <w:r>
        <w:rPr/>
        <w:t xml:space="preserve">(HU) Highly Unsatisfactory: Project is off track and is not expected to achieve its end-of-project targets by project closure and adaptive management is not expected to materialize.</w:t>
      </w:r>
    </w:p>
    <w:p/>
    <w:p>
      <w:pPr/>
      <w:r>
        <w:rPr>
          <w:b w:val="1"/>
          <w:bCs w:val="1"/>
        </w:rPr>
        <w:t xml:space="preserve">Implementation Progress Ratings Definitions</w:t>
      </w:r>
    </w:p>
    <w:p>
      <w:pPr/>
      <w:r>
        <w:rPr/>
        <w:t xml:space="preserve">(HS) Highly Satisfactory: Implementation is exceeding expectations. Implementation of all outputs/activities is fully on track, proceeding as planned, The implementation of the project can be presented as 'outstanding practice'.</w:t>
      </w:r>
    </w:p>
    <w:p>
      <w:pPr/>
      <w:r>
        <w:rPr/>
        <w:t xml:space="preserve">(S) Satisfactory: Implementation is proceeding as planned with minor challenges that are being addressed. Implementation of all outputs/activities is on track with minor deviations The implementation of the project can be presented as 'good practice'. </w:t>
      </w:r>
    </w:p>
    <w:p>
      <w:pPr/>
      <w:r>
        <w:rPr/>
        <w:t xml:space="preserve">(MS) Moderately Satisfactory: Implementation is proceeding as planned with minor challenges that have not yet been addressed. Implementation of most outputs/activities is on track with minor deviations.</w:t>
      </w:r>
    </w:p>
    <w:p>
      <w:pPr/>
      <w:r>
        <w:rPr/>
        <w:t xml:space="preserve">(MU) Moderately Unsatisfactory: Implementation is not proceeding as planned and faces implementation challenges. Implementation of many outputs/activities is off track Implementation progress could be improved if adaptive management is undertaken immediately.</w:t>
      </w:r>
    </w:p>
    <w:p>
      <w:pPr/>
      <w:r>
        <w:rPr/>
        <w:t xml:space="preserve">(U) Unsatisfactory: Implementation is not proceeding as planned and faces major implementation challenges. Implementation of most outputs/activities is off track.</w:t>
      </w:r>
    </w:p>
    <w:p>
      <w:pPr/>
      <w:r>
        <w:rPr/>
        <w:t xml:space="preserve">(HU) Highly Unsatisfactory: Implementation is seriously under-performing. Implementation of all outputs/activities is severely off track.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Page </w:t>
    </w:r>
    <w:r>
      <w:fldChar w:fldCharType="begin"/>
    </w:r>
    <w:r>
      <w:instrText xml:space="preserve">PAGE</w:instrText>
    </w:r>
    <w:r>
      <w:fldChar w:fldCharType="separate"/>
    </w:r>
    <w:r>
      <w:fldChar w:fldCharType="end"/>
    </w:r>
    <w:r>
      <w:t xml:space="preserve"> of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t xml:space="preserve">2025 Project Implementation Report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F1E9A1"/>
    <w:multiLevelType w:val="multilevel"/>
    <w:lvl w:ilvl="0">
      <w:start w:val="1"/>
      <w:numFmt w:val="upperLetter"/>
      <w:pStyle w:val="Heading1"/>
      <w:suff w:val="tab"/>
      <w:lvlText w:val="%1."/>
      <w:pPr>
        <w:tabs>
          <w:tab w:val="num"/>
        </w:tabs>
        <w:ind/>
      </w:pPr>
      <w:rPr>
        <w:rFonts/>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numPr>
        <w:numId w:val="1"/>
        <w:ilvl w:val="0"/>
      </w:numPr>
      <w:outlineLvl w:val="0"/>
    </w:pPr>
    <w:rPr>
      <w:sz w:val="28"/>
      <w:szCs w:val="28"/>
      <w:b w:val="1"/>
      <w:bCs w:val="1"/>
    </w:rPr>
  </w:style>
  <w:style w:type="paragraph" w:styleId="Heading2">
    <w:link w:val="Heading2Char"/>
    <w:name w:val="heading 2"/>
    <w:basedOn w:val="Normal"/>
    <w:pPr>
      <w:spacing w:before="40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section_image2.jp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section_image1.gif"/><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thegef.org/sites/default/files/documents/2022-04/GEF_R.08_31_GEF-8_Policy_Directions.pdf" TargetMode="External"/><Relationship Id="rId4" Type="http://schemas.openxmlformats.org/officeDocument/2006/relationships/theme" Target="theme/theme1.xml"/><Relationship Id="rId9" Type="http://schemas.openxmlformats.org/officeDocument/2006/relationships/hyperlink" Target="https://www.thegef.org/council-meeting-documents/guidelines-project-and-program-cycle-policy-2020-updat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B0428 - Philippines - Manila</OfficeCountry>
    <DocumentStatus xmlns="d9cf0e28-81d2-4dc7-8b10-820d80ed680d">Final</DocumentStatus>
    <DocCoverageEndDate xmlns="d9cf0e28-81d2-4dc7-8b10-820d80ed680d">2025-06-30T04:00:00+00:00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00110424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UNDP-PHL</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2024-07-01T04:00:00+00:00</DocCoverageStartDate>
    <FileClassificationMode xmlns="d9cf0e28-81d2-4dc7-8b10-820d80ed680d">Public</FileClassificationMode>
    <OutputNumber xmlns="d9cf0e28-81d2-4dc7-8b10-820d80ed680d">00109360</OutputNumber>
  </documentManagement>
</p:properties>
</file>

<file path=customXml/itemProps1.xml><?xml version="1.0" encoding="utf-8"?>
<ds:datastoreItem xmlns:ds="http://schemas.openxmlformats.org/officeDocument/2006/customXml" ds:itemID="{EA8F84C2-5340-4B38-9196-09FEC73DE71C}"/>
</file>

<file path=customXml/itemProps2.xml><?xml version="1.0" encoding="utf-8"?>
<ds:datastoreItem xmlns:ds="http://schemas.openxmlformats.org/officeDocument/2006/customXml" ds:itemID="{F0328A27-DB85-4F47-9220-9D5CAE250690}"/>
</file>

<file path=customXml/itemProps3.xml><?xml version="1.0" encoding="utf-8"?>
<ds:datastoreItem xmlns:ds="http://schemas.openxmlformats.org/officeDocument/2006/customXml" ds:itemID="{657BD141-7E8B-4F95-96FE-6CA98B610E29}"/>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2025-09-09T05:07:36Z</dcterms:created>
  <dcterms:modified xsi:type="dcterms:W3CDTF">2025-09-09T05:07:36Z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4" name="docLang">
    <vt:lpwstr>en</vt:lpwstr>
  </property>
</Properties>
</file>